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D5B31" w14:textId="6B85E6AA" w:rsidR="00EC5A58" w:rsidRPr="00A571A1" w:rsidRDefault="00EC5A58" w:rsidP="00EC5A5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</w:t>
      </w:r>
      <w:r w:rsidR="006F032D">
        <w:rPr>
          <w:b/>
          <w:noProof/>
          <w:sz w:val="24"/>
          <w:szCs w:val="28"/>
        </w:rPr>
        <w:t>7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D5431C">
        <w:rPr>
          <w:b/>
          <w:sz w:val="28"/>
          <w:szCs w:val="28"/>
        </w:rPr>
        <w:t>R3-</w:t>
      </w:r>
      <w:r w:rsidRPr="00D5431C">
        <w:rPr>
          <w:b/>
          <w:noProof/>
          <w:sz w:val="28"/>
          <w:szCs w:val="28"/>
        </w:rPr>
        <w:t>22</w:t>
      </w:r>
      <w:r w:rsidR="00D5431C" w:rsidRPr="00D5431C">
        <w:rPr>
          <w:b/>
          <w:noProof/>
          <w:sz w:val="28"/>
          <w:szCs w:val="28"/>
        </w:rPr>
        <w:t>4362</w:t>
      </w:r>
    </w:p>
    <w:p w14:paraId="25F00F1D" w14:textId="0A17DD8E" w:rsidR="00EC5A58" w:rsidRDefault="00EC5A58" w:rsidP="00EC5A58">
      <w:pPr>
        <w:pStyle w:val="CRCoverPage"/>
        <w:outlineLvl w:val="0"/>
        <w:rPr>
          <w:b/>
          <w:noProof/>
          <w:sz w:val="24"/>
          <w:szCs w:val="28"/>
        </w:rPr>
      </w:pPr>
      <w:r w:rsidRPr="00A571A1">
        <w:rPr>
          <w:b/>
          <w:noProof/>
          <w:sz w:val="24"/>
          <w:szCs w:val="28"/>
        </w:rPr>
        <w:t xml:space="preserve">Online, </w:t>
      </w:r>
      <w:r w:rsidR="006F032D">
        <w:rPr>
          <w:b/>
          <w:noProof/>
          <w:sz w:val="24"/>
          <w:szCs w:val="28"/>
        </w:rPr>
        <w:t>August</w:t>
      </w:r>
      <w:r w:rsidRPr="00A571A1">
        <w:rPr>
          <w:b/>
          <w:noProof/>
          <w:sz w:val="24"/>
          <w:szCs w:val="28"/>
        </w:rPr>
        <w:t xml:space="preserve"> </w:t>
      </w:r>
      <w:r w:rsidR="00E62D08">
        <w:rPr>
          <w:b/>
          <w:noProof/>
          <w:sz w:val="24"/>
          <w:szCs w:val="28"/>
        </w:rPr>
        <w:t>15</w:t>
      </w:r>
      <w:r w:rsidRPr="00A571A1">
        <w:rPr>
          <w:b/>
          <w:noProof/>
          <w:sz w:val="24"/>
          <w:szCs w:val="28"/>
          <w:vertAlign w:val="superscript"/>
        </w:rPr>
        <w:t>t</w:t>
      </w:r>
      <w:r w:rsidR="00E62D08"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 w:rsidR="00E62D08">
        <w:rPr>
          <w:b/>
          <w:noProof/>
          <w:sz w:val="24"/>
          <w:szCs w:val="28"/>
        </w:rPr>
        <w:t>24</w:t>
      </w:r>
      <w:r w:rsidR="00E62D08"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697D8BB2" w:rsidR="0079791B" w:rsidRPr="00385D8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385D80">
        <w:rPr>
          <w:rFonts w:asciiTheme="minorHAnsi" w:hAnsiTheme="minorHAnsi" w:cstheme="minorHAnsi"/>
          <w:szCs w:val="22"/>
        </w:rPr>
        <w:t>Agenda Item:</w:t>
      </w:r>
      <w:r w:rsidRPr="00385D80">
        <w:rPr>
          <w:rFonts w:asciiTheme="minorHAnsi" w:hAnsiTheme="minorHAnsi" w:cstheme="minorHAnsi"/>
          <w:szCs w:val="22"/>
        </w:rPr>
        <w:tab/>
      </w:r>
      <w:r w:rsidR="00F83CF8" w:rsidRPr="00385D80">
        <w:rPr>
          <w:rFonts w:asciiTheme="minorHAnsi" w:hAnsiTheme="minorHAnsi" w:cstheme="minorHAnsi"/>
          <w:szCs w:val="22"/>
        </w:rPr>
        <w:t>1</w:t>
      </w:r>
      <w:r w:rsidR="00DC78C6" w:rsidRPr="00385D80">
        <w:rPr>
          <w:rFonts w:asciiTheme="minorHAnsi" w:hAnsiTheme="minorHAnsi" w:cstheme="minorHAnsi"/>
          <w:szCs w:val="22"/>
        </w:rPr>
        <w:t>1</w:t>
      </w:r>
      <w:r w:rsidR="00F83CF8" w:rsidRPr="00385D80">
        <w:rPr>
          <w:rFonts w:asciiTheme="minorHAnsi" w:hAnsiTheme="minorHAnsi" w:cstheme="minorHAnsi"/>
          <w:szCs w:val="22"/>
        </w:rPr>
        <w:t>.</w:t>
      </w:r>
      <w:r w:rsidR="00385D80" w:rsidRPr="00385D80">
        <w:rPr>
          <w:rFonts w:asciiTheme="minorHAnsi" w:hAnsiTheme="minorHAnsi" w:cstheme="minorHAnsi"/>
          <w:szCs w:val="22"/>
        </w:rPr>
        <w:t>3</w:t>
      </w:r>
    </w:p>
    <w:p w14:paraId="5D26F93D" w14:textId="67119965" w:rsidR="0079791B" w:rsidRPr="00385D8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385D80">
        <w:rPr>
          <w:rFonts w:asciiTheme="minorHAnsi" w:hAnsiTheme="minorHAnsi" w:cstheme="minorHAnsi"/>
          <w:szCs w:val="22"/>
        </w:rPr>
        <w:t>Source:</w:t>
      </w:r>
      <w:r w:rsidRPr="00385D80">
        <w:rPr>
          <w:rFonts w:asciiTheme="minorHAnsi" w:hAnsiTheme="minorHAnsi" w:cstheme="minorHAnsi"/>
          <w:szCs w:val="22"/>
        </w:rPr>
        <w:tab/>
        <w:t>Ericsson</w:t>
      </w:r>
    </w:p>
    <w:p w14:paraId="3B347207" w14:textId="531EE11E" w:rsidR="0079791B" w:rsidRPr="00385D80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385D80">
        <w:rPr>
          <w:rFonts w:asciiTheme="minorHAnsi" w:hAnsiTheme="minorHAnsi" w:cstheme="minorHAnsi"/>
          <w:szCs w:val="22"/>
        </w:rPr>
        <w:t>Title:</w:t>
      </w:r>
      <w:r w:rsidRPr="00385D80">
        <w:rPr>
          <w:rFonts w:asciiTheme="minorHAnsi" w:hAnsiTheme="minorHAnsi" w:cstheme="minorHAnsi"/>
          <w:szCs w:val="22"/>
        </w:rPr>
        <w:tab/>
      </w:r>
      <w:r w:rsidR="00EA109B" w:rsidRPr="00EA109B">
        <w:rPr>
          <w:rFonts w:asciiTheme="minorHAnsi" w:hAnsiTheme="minorHAnsi" w:cstheme="minorHAnsi"/>
          <w:szCs w:val="22"/>
        </w:rPr>
        <w:t xml:space="preserve">The Support for </w:t>
      </w:r>
      <w:r w:rsidR="002D2B6F">
        <w:rPr>
          <w:rFonts w:asciiTheme="minorHAnsi" w:hAnsiTheme="minorHAnsi" w:cstheme="minorHAnsi"/>
          <w:szCs w:val="22"/>
        </w:rPr>
        <w:t>QoE and RVQoE Measurement and Reporting</w:t>
      </w:r>
      <w:r w:rsidR="00EA109B" w:rsidRPr="00EA109B">
        <w:rPr>
          <w:rFonts w:asciiTheme="minorHAnsi" w:hAnsiTheme="minorHAnsi" w:cstheme="minorHAnsi"/>
          <w:szCs w:val="22"/>
        </w:rPr>
        <w:t xml:space="preserve"> in NR-DC Scenarios</w:t>
      </w:r>
    </w:p>
    <w:p w14:paraId="66073A5A" w14:textId="77777777" w:rsidR="0079791B" w:rsidRPr="002818AA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385D80">
        <w:rPr>
          <w:rFonts w:asciiTheme="minorHAnsi" w:hAnsiTheme="minorHAnsi" w:cstheme="minorHAnsi"/>
          <w:szCs w:val="22"/>
        </w:rPr>
        <w:t>Document for:</w:t>
      </w:r>
      <w:r w:rsidRPr="00385D80">
        <w:rPr>
          <w:rFonts w:asciiTheme="minorHAnsi" w:hAnsiTheme="minorHAnsi" w:cstheme="minorHAnsi"/>
          <w:szCs w:val="22"/>
        </w:rPr>
        <w:tab/>
      </w:r>
      <w:r w:rsidRPr="00385D80">
        <w:rPr>
          <w:rFonts w:ascii="Calibri" w:hAnsi="Calibri" w:cs="Calibri"/>
          <w:szCs w:val="22"/>
        </w:rPr>
        <w:t>Agreement</w:t>
      </w:r>
    </w:p>
    <w:p w14:paraId="3E56774C" w14:textId="77777777" w:rsidR="0079791B" w:rsidRPr="002818AA" w:rsidRDefault="0079791B" w:rsidP="00290155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33B0AD8A" w14:textId="1C89A470" w:rsidR="007D435E" w:rsidRDefault="00F7691E" w:rsidP="00377E8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F7691E" w:rsidDel="008620E1">
        <w:rPr>
          <w:rFonts w:asciiTheme="minorHAnsi" w:hAnsiTheme="minorHAnsi" w:cstheme="minorHAnsi"/>
          <w:sz w:val="22"/>
          <w:szCs w:val="22"/>
        </w:rPr>
        <w:t>In t</w:t>
      </w:r>
      <w:r w:rsidRPr="00F7691E">
        <w:rPr>
          <w:rFonts w:asciiTheme="minorHAnsi" w:hAnsiTheme="minorHAnsi" w:cstheme="minorHAnsi"/>
          <w:sz w:val="22"/>
          <w:szCs w:val="22"/>
        </w:rPr>
        <w:t xml:space="preserve">his paper </w:t>
      </w:r>
      <w:r w:rsidR="00AB5A6F">
        <w:rPr>
          <w:rFonts w:asciiTheme="minorHAnsi" w:hAnsiTheme="minorHAnsi" w:cstheme="minorHAnsi"/>
          <w:sz w:val="22"/>
          <w:szCs w:val="22"/>
        </w:rPr>
        <w:t>we</w:t>
      </w:r>
      <w:r w:rsidRPr="00F7691E">
        <w:rPr>
          <w:rFonts w:asciiTheme="minorHAnsi" w:hAnsiTheme="minorHAnsi" w:cstheme="minorHAnsi"/>
          <w:sz w:val="22"/>
          <w:szCs w:val="22"/>
        </w:rPr>
        <w:t xml:space="preserve"> discuss the support for </w:t>
      </w:r>
      <w:r w:rsidR="009A1165">
        <w:rPr>
          <w:rFonts w:asciiTheme="minorHAnsi" w:hAnsiTheme="minorHAnsi" w:cstheme="minorHAnsi"/>
          <w:sz w:val="22"/>
          <w:szCs w:val="22"/>
        </w:rPr>
        <w:t>QoE measurement collection (</w:t>
      </w:r>
      <w:r w:rsidRPr="00F7691E">
        <w:rPr>
          <w:rFonts w:asciiTheme="minorHAnsi" w:hAnsiTheme="minorHAnsi" w:cstheme="minorHAnsi"/>
          <w:sz w:val="22"/>
          <w:szCs w:val="22"/>
        </w:rPr>
        <w:t>QMC</w:t>
      </w:r>
      <w:r w:rsidR="009A1165">
        <w:rPr>
          <w:rFonts w:asciiTheme="minorHAnsi" w:hAnsiTheme="minorHAnsi" w:cstheme="minorHAnsi"/>
          <w:sz w:val="22"/>
          <w:szCs w:val="22"/>
        </w:rPr>
        <w:t>)</w:t>
      </w:r>
      <w:r w:rsidRPr="00F7691E">
        <w:rPr>
          <w:rFonts w:asciiTheme="minorHAnsi" w:hAnsiTheme="minorHAnsi" w:cstheme="minorHAnsi"/>
          <w:sz w:val="22"/>
          <w:szCs w:val="22"/>
        </w:rPr>
        <w:t xml:space="preserve"> in NR-DC scenarios</w:t>
      </w:r>
      <w:r>
        <w:rPr>
          <w:rFonts w:asciiTheme="minorHAnsi" w:hAnsiTheme="minorHAnsi" w:cstheme="minorHAnsi"/>
          <w:sz w:val="22"/>
          <w:szCs w:val="22"/>
        </w:rPr>
        <w:t>, with respect to the following objective from the Rel-18 QoE WID:</w:t>
      </w:r>
    </w:p>
    <w:p w14:paraId="3B929C40" w14:textId="77777777" w:rsidR="004A6844" w:rsidRPr="004A6844" w:rsidRDefault="004A6844" w:rsidP="00377E8F">
      <w:pPr>
        <w:numPr>
          <w:ilvl w:val="0"/>
          <w:numId w:val="22"/>
        </w:numPr>
        <w:spacing w:before="120" w:after="0"/>
        <w:ind w:left="851"/>
        <w:jc w:val="left"/>
        <w:rPr>
          <w:rFonts w:ascii="Times New Roman" w:hAnsi="Times New Roman"/>
          <w:bCs/>
        </w:rPr>
      </w:pPr>
      <w:r w:rsidRPr="004A6844">
        <w:rPr>
          <w:rFonts w:ascii="Times New Roman" w:hAnsi="Times New Roman"/>
          <w:bCs/>
        </w:rPr>
        <w:t xml:space="preserve">Specify to support for QoE in NR-DC, </w:t>
      </w:r>
      <w:proofErr w:type="gramStart"/>
      <w:r w:rsidRPr="004A6844">
        <w:rPr>
          <w:rFonts w:ascii="Times New Roman" w:hAnsi="Times New Roman"/>
          <w:bCs/>
        </w:rPr>
        <w:t>e.g.</w:t>
      </w:r>
      <w:proofErr w:type="gramEnd"/>
      <w:r w:rsidRPr="004A6844">
        <w:rPr>
          <w:rFonts w:ascii="Times New Roman" w:hAnsi="Times New Roman"/>
          <w:bCs/>
        </w:rPr>
        <w:t xml:space="preserve"> enable QoE reporting via SN [RAN3, RAN2].</w:t>
      </w:r>
    </w:p>
    <w:p w14:paraId="02811C58" w14:textId="77777777" w:rsidR="004A6844" w:rsidRPr="004A6844" w:rsidRDefault="004A6844" w:rsidP="00377E8F">
      <w:pPr>
        <w:numPr>
          <w:ilvl w:val="0"/>
          <w:numId w:val="23"/>
        </w:numPr>
        <w:spacing w:before="120" w:after="0"/>
        <w:ind w:left="1276" w:hanging="360"/>
        <w:jc w:val="left"/>
        <w:rPr>
          <w:rFonts w:ascii="Times New Roman" w:hAnsi="Times New Roman"/>
          <w:bCs/>
        </w:rPr>
      </w:pPr>
      <w:r w:rsidRPr="004A6844">
        <w:rPr>
          <w:rFonts w:ascii="Times New Roman" w:hAnsi="Times New Roman"/>
        </w:rPr>
        <w:t>Specify the QoE configuration,</w:t>
      </w:r>
      <w:r w:rsidRPr="004A6844">
        <w:rPr>
          <w:rFonts w:ascii="Times New Roman" w:hAnsi="Times New Roman"/>
          <w:lang w:val="en-US"/>
        </w:rPr>
        <w:t xml:space="preserve"> and</w:t>
      </w:r>
      <w:r w:rsidRPr="004A6844">
        <w:rPr>
          <w:rFonts w:ascii="Times New Roman" w:hAnsi="Times New Roman"/>
        </w:rPr>
        <w:t xml:space="preserve"> measurement reporting over MN/SN for NR-DC </w:t>
      </w:r>
      <w:proofErr w:type="gramStart"/>
      <w:r w:rsidRPr="004A6844">
        <w:rPr>
          <w:rFonts w:ascii="Times New Roman" w:hAnsi="Times New Roman"/>
        </w:rPr>
        <w:t>architecture, and</w:t>
      </w:r>
      <w:proofErr w:type="gramEnd"/>
      <w:r w:rsidRPr="004A6844">
        <w:rPr>
          <w:rFonts w:ascii="Times New Roman" w:hAnsi="Times New Roman"/>
        </w:rPr>
        <w:t xml:space="preserve"> specify the QoE measurement reporting over the other DC leg </w:t>
      </w:r>
      <w:r w:rsidRPr="004A6844">
        <w:rPr>
          <w:rFonts w:ascii="Times New Roman" w:hAnsi="Times New Roman"/>
          <w:lang w:val="en-US"/>
        </w:rPr>
        <w:t>in order to maintain the reporting continuity</w:t>
      </w:r>
      <w:r w:rsidRPr="004A6844">
        <w:rPr>
          <w:rFonts w:ascii="Times New Roman" w:hAnsi="Times New Roman"/>
        </w:rPr>
        <w:t>.</w:t>
      </w:r>
    </w:p>
    <w:p w14:paraId="2E290E52" w14:textId="77777777" w:rsidR="004A6844" w:rsidRPr="004A6844" w:rsidRDefault="004A6844" w:rsidP="00377E8F">
      <w:pPr>
        <w:spacing w:before="120" w:after="0"/>
        <w:ind w:left="1276"/>
        <w:jc w:val="left"/>
        <w:rPr>
          <w:rFonts w:ascii="Times New Roman" w:hAnsi="Times New Roman"/>
          <w:bCs/>
        </w:rPr>
      </w:pPr>
      <w:r w:rsidRPr="004A6844">
        <w:rPr>
          <w:rFonts w:ascii="Times New Roman" w:hAnsi="Times New Roman"/>
          <w:bCs/>
        </w:rPr>
        <w:t>Note 1: The QoE measurements are not perform</w:t>
      </w:r>
      <w:r w:rsidRPr="004A6844">
        <w:rPr>
          <w:rFonts w:ascii="Times New Roman" w:hAnsi="Times New Roman"/>
          <w:bCs/>
          <w:lang w:val="en-US"/>
        </w:rPr>
        <w:t>ed separately</w:t>
      </w:r>
      <w:r w:rsidRPr="004A6844">
        <w:rPr>
          <w:rFonts w:ascii="Times New Roman" w:hAnsi="Times New Roman"/>
          <w:bCs/>
        </w:rPr>
        <w:t xml:space="preserve"> for </w:t>
      </w:r>
      <w:r w:rsidRPr="004A6844">
        <w:rPr>
          <w:rFonts w:ascii="Times New Roman" w:hAnsi="Times New Roman"/>
          <w:bCs/>
          <w:lang w:val="en-US"/>
        </w:rPr>
        <w:t xml:space="preserve">each </w:t>
      </w:r>
      <w:r w:rsidRPr="004A6844">
        <w:rPr>
          <w:rFonts w:ascii="Times New Roman" w:hAnsi="Times New Roman"/>
          <w:bCs/>
        </w:rPr>
        <w:t>leg.</w:t>
      </w:r>
    </w:p>
    <w:p w14:paraId="78173C06" w14:textId="77777777" w:rsidR="004A6844" w:rsidRPr="004A6844" w:rsidRDefault="004A6844" w:rsidP="00377E8F">
      <w:pPr>
        <w:numPr>
          <w:ilvl w:val="0"/>
          <w:numId w:val="23"/>
        </w:numPr>
        <w:spacing w:before="120" w:after="0"/>
        <w:ind w:left="1276" w:hanging="360"/>
        <w:jc w:val="left"/>
        <w:rPr>
          <w:rFonts w:ascii="Times New Roman" w:hAnsi="Times New Roman"/>
          <w:bCs/>
        </w:rPr>
      </w:pPr>
      <w:r w:rsidRPr="004A6844">
        <w:rPr>
          <w:rFonts w:ascii="Times New Roman" w:hAnsi="Times New Roman"/>
          <w:bCs/>
        </w:rPr>
        <w:t xml:space="preserve">Support RAN-visible </w:t>
      </w:r>
      <w:r w:rsidRPr="004A6844">
        <w:rPr>
          <w:rFonts w:ascii="Times New Roman" w:hAnsi="Times New Roman"/>
          <w:bCs/>
          <w:lang w:val="en-US"/>
        </w:rPr>
        <w:t xml:space="preserve">QoE </w:t>
      </w:r>
      <w:r w:rsidRPr="004A6844">
        <w:rPr>
          <w:rFonts w:ascii="Times New Roman" w:hAnsi="Times New Roman"/>
          <w:bCs/>
        </w:rPr>
        <w:t>and radio related measurement configuration and reporting in NR-DC scenarios.</w:t>
      </w:r>
    </w:p>
    <w:p w14:paraId="2E66BA07" w14:textId="77777777" w:rsidR="004A6844" w:rsidRPr="004A6844" w:rsidRDefault="004A6844" w:rsidP="00377E8F">
      <w:pPr>
        <w:numPr>
          <w:ilvl w:val="0"/>
          <w:numId w:val="23"/>
        </w:numPr>
        <w:spacing w:before="120" w:after="0"/>
        <w:ind w:left="1276" w:hanging="360"/>
        <w:jc w:val="left"/>
        <w:rPr>
          <w:rFonts w:ascii="Times New Roman" w:hAnsi="Times New Roman"/>
          <w:bCs/>
        </w:rPr>
      </w:pPr>
      <w:r w:rsidRPr="004A6844">
        <w:rPr>
          <w:rFonts w:ascii="Times New Roman" w:hAnsi="Times New Roman"/>
        </w:rPr>
        <w:t>Specify the QoE measurement continuity in mobility scenarios in NR-DC</w:t>
      </w:r>
      <w:r w:rsidRPr="004A6844">
        <w:rPr>
          <w:rFonts w:ascii="Times New Roman" w:hAnsi="Times New Roman"/>
          <w:bCs/>
        </w:rPr>
        <w:t>.</w:t>
      </w:r>
    </w:p>
    <w:p w14:paraId="35FB5E28" w14:textId="77777777" w:rsidR="004A6844" w:rsidRDefault="004A6844" w:rsidP="00377E8F">
      <w:pPr>
        <w:numPr>
          <w:ilvl w:val="0"/>
          <w:numId w:val="23"/>
        </w:numPr>
        <w:spacing w:before="120" w:after="0"/>
        <w:ind w:left="1276" w:hanging="360"/>
        <w:jc w:val="left"/>
        <w:rPr>
          <w:rFonts w:ascii="Times New Roman" w:hAnsi="Times New Roman"/>
          <w:bCs/>
        </w:rPr>
      </w:pPr>
      <w:r w:rsidRPr="004A6844">
        <w:rPr>
          <w:rFonts w:ascii="Times New Roman" w:hAnsi="Times New Roman"/>
        </w:rPr>
        <w:t>Specify the alignment of QoE</w:t>
      </w:r>
      <w:r w:rsidRPr="004A6844">
        <w:rPr>
          <w:rFonts w:ascii="Times New Roman" w:hAnsi="Times New Roman"/>
          <w:lang w:val="en-US"/>
        </w:rPr>
        <w:t xml:space="preserve"> measurements (including legacy QoE and RAN visible QoE measurements)</w:t>
      </w:r>
      <w:r w:rsidRPr="004A6844">
        <w:rPr>
          <w:rFonts w:ascii="Times New Roman" w:hAnsi="Times New Roman"/>
        </w:rPr>
        <w:t xml:space="preserve"> and radio related measurement in NR-DC</w:t>
      </w:r>
      <w:r w:rsidRPr="004A6844">
        <w:rPr>
          <w:rFonts w:ascii="Times New Roman" w:hAnsi="Times New Roman"/>
          <w:bCs/>
        </w:rPr>
        <w:t>.</w:t>
      </w:r>
    </w:p>
    <w:p w14:paraId="3652DF08" w14:textId="77777777" w:rsidR="00DE0490" w:rsidRDefault="00DE0490" w:rsidP="00377E8F">
      <w:pPr>
        <w:spacing w:before="120" w:after="0"/>
        <w:jc w:val="left"/>
        <w:rPr>
          <w:rFonts w:ascii="Times New Roman" w:hAnsi="Times New Roman"/>
          <w:bCs/>
        </w:rPr>
      </w:pPr>
    </w:p>
    <w:p w14:paraId="3A5D9A4D" w14:textId="3FA89CF7" w:rsidR="002779D4" w:rsidRPr="007943E9" w:rsidRDefault="007943E9" w:rsidP="00377E8F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7943E9">
        <w:rPr>
          <w:rFonts w:asciiTheme="minorHAnsi" w:hAnsiTheme="minorHAnsi" w:cstheme="minorHAnsi"/>
          <w:sz w:val="40"/>
          <w:szCs w:val="40"/>
        </w:rPr>
        <w:t>The enhancements needed to support Q</w:t>
      </w:r>
      <w:r w:rsidR="002D2B6F">
        <w:rPr>
          <w:rFonts w:asciiTheme="minorHAnsi" w:hAnsiTheme="minorHAnsi" w:cstheme="minorHAnsi"/>
          <w:sz w:val="40"/>
          <w:szCs w:val="40"/>
        </w:rPr>
        <w:t xml:space="preserve">oE and RVQoE </w:t>
      </w:r>
      <w:r w:rsidRPr="007943E9">
        <w:rPr>
          <w:rFonts w:asciiTheme="minorHAnsi" w:hAnsiTheme="minorHAnsi" w:cstheme="minorHAnsi"/>
          <w:sz w:val="40"/>
          <w:szCs w:val="40"/>
        </w:rPr>
        <w:t>for NR-DC scenarios</w:t>
      </w:r>
    </w:p>
    <w:p w14:paraId="3FF7A8BE" w14:textId="7C39DFD2" w:rsidR="007F60F1" w:rsidRDefault="0087683D" w:rsidP="00377E8F">
      <w:pPr>
        <w:spacing w:before="120" w:after="0"/>
        <w:jc w:val="left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Dual connectivity has long ago become a “mainstream” feature</w:t>
      </w:r>
      <w:r w:rsidR="003C6ABD">
        <w:rPr>
          <w:rFonts w:ascii="Calibri" w:hAnsi="Calibri" w:cs="Calibri"/>
          <w:bCs/>
          <w:sz w:val="22"/>
          <w:szCs w:val="22"/>
        </w:rPr>
        <w:t>. One of</w:t>
      </w:r>
      <w:r w:rsidR="00B06473">
        <w:rPr>
          <w:rFonts w:ascii="Calibri" w:hAnsi="Calibri" w:cs="Calibri"/>
          <w:bCs/>
          <w:sz w:val="22"/>
          <w:szCs w:val="22"/>
        </w:rPr>
        <w:t xml:space="preserve"> the</w:t>
      </w:r>
      <w:r w:rsidR="003C6ABD">
        <w:rPr>
          <w:rFonts w:ascii="Calibri" w:hAnsi="Calibri" w:cs="Calibri"/>
          <w:bCs/>
          <w:sz w:val="22"/>
          <w:szCs w:val="22"/>
        </w:rPr>
        <w:t xml:space="preserve"> </w:t>
      </w:r>
      <w:r w:rsidR="009F1EA9">
        <w:rPr>
          <w:rFonts w:ascii="Calibri" w:hAnsi="Calibri" w:cs="Calibri"/>
          <w:bCs/>
          <w:sz w:val="22"/>
          <w:szCs w:val="22"/>
        </w:rPr>
        <w:t>main</w:t>
      </w:r>
      <w:r w:rsidR="003C6ABD">
        <w:rPr>
          <w:rFonts w:ascii="Calibri" w:hAnsi="Calibri" w:cs="Calibri"/>
          <w:bCs/>
          <w:sz w:val="22"/>
          <w:szCs w:val="22"/>
        </w:rPr>
        <w:t xml:space="preserve"> motivations for introducing NR-DC in the first place is </w:t>
      </w:r>
      <w:r w:rsidR="009A1165">
        <w:rPr>
          <w:rFonts w:ascii="Calibri" w:hAnsi="Calibri" w:cs="Calibri"/>
          <w:bCs/>
          <w:sz w:val="22"/>
          <w:szCs w:val="22"/>
        </w:rPr>
        <w:t xml:space="preserve">better communication resilience. Given that the use of NR-DC may impact the </w:t>
      </w:r>
      <w:r w:rsidR="009C52A6">
        <w:rPr>
          <w:rFonts w:ascii="Calibri" w:hAnsi="Calibri" w:cs="Calibri"/>
          <w:bCs/>
          <w:sz w:val="22"/>
          <w:szCs w:val="22"/>
        </w:rPr>
        <w:t>quality of experience for the UE</w:t>
      </w:r>
      <w:r w:rsidR="009A1165">
        <w:rPr>
          <w:rFonts w:ascii="Calibri" w:hAnsi="Calibri" w:cs="Calibri"/>
          <w:bCs/>
          <w:sz w:val="22"/>
          <w:szCs w:val="22"/>
        </w:rPr>
        <w:t xml:space="preserve">, we think that the QoE </w:t>
      </w:r>
      <w:r w:rsidR="009108DF">
        <w:rPr>
          <w:rFonts w:ascii="Calibri" w:hAnsi="Calibri" w:cs="Calibri"/>
          <w:bCs/>
          <w:sz w:val="22"/>
          <w:szCs w:val="22"/>
        </w:rPr>
        <w:t xml:space="preserve">and RVQoE </w:t>
      </w:r>
      <w:r w:rsidR="009A1165">
        <w:rPr>
          <w:rFonts w:ascii="Calibri" w:hAnsi="Calibri" w:cs="Calibri"/>
          <w:bCs/>
          <w:sz w:val="22"/>
          <w:szCs w:val="22"/>
        </w:rPr>
        <w:t xml:space="preserve">measurement collection </w:t>
      </w:r>
      <w:r w:rsidR="00B61701">
        <w:rPr>
          <w:rFonts w:ascii="Calibri" w:hAnsi="Calibri" w:cs="Calibri"/>
          <w:bCs/>
          <w:sz w:val="22"/>
          <w:szCs w:val="22"/>
        </w:rPr>
        <w:t>for UEs in NR-DC scenarios should be supported.</w:t>
      </w:r>
      <w:r w:rsidR="00D14F17">
        <w:rPr>
          <w:rFonts w:ascii="Calibri" w:hAnsi="Calibri" w:cs="Calibri"/>
          <w:bCs/>
          <w:sz w:val="22"/>
          <w:szCs w:val="22"/>
        </w:rPr>
        <w:t xml:space="preserve"> </w:t>
      </w:r>
      <w:r w:rsidR="00513CF7">
        <w:rPr>
          <w:rFonts w:ascii="Calibri" w:hAnsi="Calibri" w:cs="Calibri"/>
          <w:bCs/>
          <w:sz w:val="22"/>
          <w:szCs w:val="22"/>
        </w:rPr>
        <w:t xml:space="preserve"> </w:t>
      </w:r>
    </w:p>
    <w:p w14:paraId="0FAD4BB6" w14:textId="292CA89A" w:rsidR="00BA4D46" w:rsidRDefault="00BA4D46" w:rsidP="00377E8F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 w:rsidRPr="00BA4D46">
        <w:rPr>
          <w:rFonts w:ascii="Calibri" w:hAnsi="Calibri" w:cs="Calibri"/>
          <w:b/>
          <w:sz w:val="22"/>
          <w:szCs w:val="22"/>
        </w:rPr>
        <w:t xml:space="preserve">Proposal 1: </w:t>
      </w:r>
      <w:r w:rsidR="00C340D7">
        <w:rPr>
          <w:rFonts w:ascii="Calibri" w:hAnsi="Calibri" w:cs="Calibri"/>
          <w:b/>
          <w:sz w:val="22"/>
          <w:szCs w:val="22"/>
        </w:rPr>
        <w:t>Support QoE and RVQoE measurement and reporting for UEs in NR-DC scenarios.</w:t>
      </w:r>
    </w:p>
    <w:p w14:paraId="6C310339" w14:textId="150AF0F9" w:rsidR="00C340D7" w:rsidRDefault="003A1349" w:rsidP="00377E8F">
      <w:pPr>
        <w:spacing w:before="120" w:after="0"/>
        <w:jc w:val="left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The</w:t>
      </w:r>
      <w:r w:rsidR="00755F9F">
        <w:rPr>
          <w:rFonts w:ascii="Calibri" w:hAnsi="Calibri" w:cs="Calibri"/>
          <w:bCs/>
          <w:sz w:val="22"/>
          <w:szCs w:val="22"/>
        </w:rPr>
        <w:t xml:space="preserve"> Rel-17 specifications support QMC only for single-connected UEs</w:t>
      </w:r>
      <w:r w:rsidR="00860F89">
        <w:rPr>
          <w:rFonts w:ascii="Calibri" w:hAnsi="Calibri" w:cs="Calibri"/>
          <w:bCs/>
          <w:sz w:val="22"/>
          <w:szCs w:val="22"/>
        </w:rPr>
        <w:t xml:space="preserve">. With the introduction of support for NR-DC, the following question arises: </w:t>
      </w:r>
      <w:r w:rsidR="00A44120">
        <w:rPr>
          <w:rFonts w:ascii="Calibri" w:hAnsi="Calibri" w:cs="Calibri"/>
          <w:bCs/>
          <w:sz w:val="22"/>
          <w:szCs w:val="22"/>
        </w:rPr>
        <w:t xml:space="preserve">should the specifications support the </w:t>
      </w:r>
      <w:r w:rsidR="007E7740">
        <w:rPr>
          <w:rFonts w:ascii="Calibri" w:hAnsi="Calibri" w:cs="Calibri"/>
          <w:bCs/>
          <w:sz w:val="22"/>
          <w:szCs w:val="22"/>
        </w:rPr>
        <w:t>setup</w:t>
      </w:r>
      <w:r w:rsidR="00A44120">
        <w:rPr>
          <w:rFonts w:ascii="Calibri" w:hAnsi="Calibri" w:cs="Calibri"/>
          <w:bCs/>
          <w:sz w:val="22"/>
          <w:szCs w:val="22"/>
        </w:rPr>
        <w:t xml:space="preserve"> of SRB4 </w:t>
      </w:r>
      <w:r w:rsidR="00A805B1">
        <w:rPr>
          <w:rFonts w:ascii="Calibri" w:hAnsi="Calibri" w:cs="Calibri"/>
          <w:bCs/>
          <w:sz w:val="22"/>
          <w:szCs w:val="22"/>
        </w:rPr>
        <w:t>to</w:t>
      </w:r>
      <w:r w:rsidR="00A44120">
        <w:rPr>
          <w:rFonts w:ascii="Calibri" w:hAnsi="Calibri" w:cs="Calibri"/>
          <w:bCs/>
          <w:sz w:val="22"/>
          <w:szCs w:val="22"/>
        </w:rPr>
        <w:t xml:space="preserve"> the MN, </w:t>
      </w:r>
      <w:r w:rsidR="00A805B1">
        <w:rPr>
          <w:rFonts w:ascii="Calibri" w:hAnsi="Calibri" w:cs="Calibri"/>
          <w:bCs/>
          <w:sz w:val="22"/>
          <w:szCs w:val="22"/>
        </w:rPr>
        <w:t>to</w:t>
      </w:r>
      <w:r w:rsidR="00A44120">
        <w:rPr>
          <w:rFonts w:ascii="Calibri" w:hAnsi="Calibri" w:cs="Calibri"/>
          <w:bCs/>
          <w:sz w:val="22"/>
          <w:szCs w:val="22"/>
        </w:rPr>
        <w:t xml:space="preserve"> the SN or </w:t>
      </w:r>
      <w:r w:rsidR="00A805B1">
        <w:rPr>
          <w:rFonts w:ascii="Calibri" w:hAnsi="Calibri" w:cs="Calibri"/>
          <w:bCs/>
          <w:sz w:val="22"/>
          <w:szCs w:val="22"/>
        </w:rPr>
        <w:t>to</w:t>
      </w:r>
      <w:r w:rsidR="00A44120">
        <w:rPr>
          <w:rFonts w:ascii="Calibri" w:hAnsi="Calibri" w:cs="Calibri"/>
          <w:bCs/>
          <w:sz w:val="22"/>
          <w:szCs w:val="22"/>
        </w:rPr>
        <w:t xml:space="preserve"> both? </w:t>
      </w:r>
      <w:r w:rsidR="002A5EF1">
        <w:rPr>
          <w:rFonts w:ascii="Calibri" w:hAnsi="Calibri" w:cs="Calibri"/>
          <w:bCs/>
          <w:sz w:val="22"/>
          <w:szCs w:val="22"/>
        </w:rPr>
        <w:t>We note the following formulation in the Rel-18 WID:</w:t>
      </w:r>
    </w:p>
    <w:p w14:paraId="22420BF1" w14:textId="77777777" w:rsidR="002A5EF1" w:rsidRPr="004A6844" w:rsidRDefault="002A5EF1" w:rsidP="00377E8F">
      <w:pPr>
        <w:numPr>
          <w:ilvl w:val="0"/>
          <w:numId w:val="23"/>
        </w:numPr>
        <w:spacing w:before="120" w:after="0"/>
        <w:ind w:left="1276" w:hanging="360"/>
        <w:jc w:val="left"/>
        <w:rPr>
          <w:rFonts w:ascii="Times New Roman" w:hAnsi="Times New Roman"/>
          <w:bCs/>
        </w:rPr>
      </w:pPr>
      <w:r w:rsidRPr="004A6844">
        <w:rPr>
          <w:rFonts w:ascii="Times New Roman" w:hAnsi="Times New Roman"/>
        </w:rPr>
        <w:t>Specify the QoE configuration,</w:t>
      </w:r>
      <w:r w:rsidRPr="004A6844">
        <w:rPr>
          <w:rFonts w:ascii="Times New Roman" w:hAnsi="Times New Roman"/>
          <w:lang w:val="en-US"/>
        </w:rPr>
        <w:t xml:space="preserve"> and</w:t>
      </w:r>
      <w:r w:rsidRPr="004A6844">
        <w:rPr>
          <w:rFonts w:ascii="Times New Roman" w:hAnsi="Times New Roman"/>
        </w:rPr>
        <w:t xml:space="preserve"> measurement reporting over MN/SN for NR-DC </w:t>
      </w:r>
      <w:proofErr w:type="gramStart"/>
      <w:r w:rsidRPr="004A6844">
        <w:rPr>
          <w:rFonts w:ascii="Times New Roman" w:hAnsi="Times New Roman"/>
        </w:rPr>
        <w:t>architecture, and</w:t>
      </w:r>
      <w:proofErr w:type="gramEnd"/>
      <w:r w:rsidRPr="004A6844">
        <w:rPr>
          <w:rFonts w:ascii="Times New Roman" w:hAnsi="Times New Roman"/>
        </w:rPr>
        <w:t xml:space="preserve"> </w:t>
      </w:r>
      <w:r w:rsidRPr="002A5EF1">
        <w:rPr>
          <w:rFonts w:ascii="Times New Roman" w:hAnsi="Times New Roman"/>
          <w:highlight w:val="yellow"/>
        </w:rPr>
        <w:t>specify the QoE measurement reporting over the other DC leg</w:t>
      </w:r>
      <w:r w:rsidRPr="004A6844">
        <w:rPr>
          <w:rFonts w:ascii="Times New Roman" w:hAnsi="Times New Roman"/>
        </w:rPr>
        <w:t xml:space="preserve"> </w:t>
      </w:r>
      <w:r w:rsidRPr="004A6844">
        <w:rPr>
          <w:rFonts w:ascii="Times New Roman" w:hAnsi="Times New Roman"/>
          <w:lang w:val="en-US"/>
        </w:rPr>
        <w:t>in order to maintain the reporting continuity</w:t>
      </w:r>
      <w:r w:rsidRPr="004A6844">
        <w:rPr>
          <w:rFonts w:ascii="Times New Roman" w:hAnsi="Times New Roman"/>
        </w:rPr>
        <w:t>.</w:t>
      </w:r>
    </w:p>
    <w:p w14:paraId="280AB398" w14:textId="35930209" w:rsidR="0063291F" w:rsidRPr="0063291F" w:rsidRDefault="001319EE" w:rsidP="00377E8F">
      <w:pPr>
        <w:spacing w:before="120" w:after="0"/>
        <w:jc w:val="left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The</w:t>
      </w:r>
      <w:r w:rsidR="0063291F">
        <w:rPr>
          <w:rFonts w:ascii="Calibri" w:hAnsi="Calibri" w:cs="Calibri"/>
          <w:bCs/>
          <w:sz w:val="22"/>
          <w:szCs w:val="22"/>
        </w:rPr>
        <w:t xml:space="preserve"> reason for capturing the </w:t>
      </w:r>
      <w:r w:rsidR="002A6BA7">
        <w:rPr>
          <w:rFonts w:ascii="Calibri" w:hAnsi="Calibri" w:cs="Calibri"/>
          <w:bCs/>
          <w:sz w:val="22"/>
          <w:szCs w:val="22"/>
        </w:rPr>
        <w:t xml:space="preserve">above formulation in the WID was to </w:t>
      </w:r>
      <w:r w:rsidR="0063291F" w:rsidRPr="0063291F">
        <w:rPr>
          <w:rFonts w:ascii="Calibri" w:hAnsi="Calibri" w:cs="Calibri"/>
          <w:bCs/>
          <w:sz w:val="22"/>
          <w:szCs w:val="22"/>
        </w:rPr>
        <w:t xml:space="preserve">take </w:t>
      </w:r>
      <w:r w:rsidR="00616E47">
        <w:rPr>
          <w:rFonts w:ascii="Calibri" w:hAnsi="Calibri" w:cs="Calibri"/>
          <w:bCs/>
          <w:sz w:val="22"/>
          <w:szCs w:val="22"/>
        </w:rPr>
        <w:t xml:space="preserve">the </w:t>
      </w:r>
      <w:r w:rsidR="0063291F" w:rsidRPr="0063291F">
        <w:rPr>
          <w:rFonts w:ascii="Calibri" w:hAnsi="Calibri" w:cs="Calibri"/>
          <w:bCs/>
          <w:sz w:val="22"/>
          <w:szCs w:val="22"/>
        </w:rPr>
        <w:t xml:space="preserve">advantage of the </w:t>
      </w:r>
      <w:r w:rsidR="002A6BA7">
        <w:rPr>
          <w:rFonts w:ascii="Calibri" w:hAnsi="Calibri" w:cs="Calibri"/>
          <w:bCs/>
          <w:sz w:val="22"/>
          <w:szCs w:val="22"/>
        </w:rPr>
        <w:t xml:space="preserve">“other” </w:t>
      </w:r>
      <w:r w:rsidR="008777C5">
        <w:rPr>
          <w:rFonts w:ascii="Calibri" w:hAnsi="Calibri" w:cs="Calibri"/>
          <w:bCs/>
          <w:sz w:val="22"/>
          <w:szCs w:val="22"/>
        </w:rPr>
        <w:t xml:space="preserve">to maintain the reporting </w:t>
      </w:r>
      <w:r w:rsidR="00CB5CC4">
        <w:rPr>
          <w:rFonts w:ascii="Calibri" w:hAnsi="Calibri" w:cs="Calibri"/>
          <w:bCs/>
          <w:sz w:val="22"/>
          <w:szCs w:val="22"/>
        </w:rPr>
        <w:t>continuity</w:t>
      </w:r>
      <w:r w:rsidR="002A6BA7">
        <w:rPr>
          <w:rFonts w:ascii="Calibri" w:hAnsi="Calibri" w:cs="Calibri"/>
          <w:bCs/>
          <w:sz w:val="22"/>
          <w:szCs w:val="22"/>
        </w:rPr>
        <w:t xml:space="preserve">, e.g., in case of overload in </w:t>
      </w:r>
      <w:r w:rsidR="004C5A40">
        <w:rPr>
          <w:rFonts w:ascii="Calibri" w:hAnsi="Calibri" w:cs="Calibri"/>
          <w:bCs/>
          <w:sz w:val="22"/>
          <w:szCs w:val="22"/>
        </w:rPr>
        <w:t xml:space="preserve">the </w:t>
      </w:r>
      <w:r w:rsidR="002A6BA7">
        <w:rPr>
          <w:rFonts w:ascii="Calibri" w:hAnsi="Calibri" w:cs="Calibri"/>
          <w:bCs/>
          <w:sz w:val="22"/>
          <w:szCs w:val="22"/>
        </w:rPr>
        <w:t>MN</w:t>
      </w:r>
      <w:r w:rsidR="004C5A40">
        <w:rPr>
          <w:rFonts w:ascii="Calibri" w:hAnsi="Calibri" w:cs="Calibri"/>
          <w:bCs/>
          <w:sz w:val="22"/>
          <w:szCs w:val="22"/>
        </w:rPr>
        <w:t xml:space="preserve"> or the </w:t>
      </w:r>
      <w:r w:rsidR="002A6BA7">
        <w:rPr>
          <w:rFonts w:ascii="Calibri" w:hAnsi="Calibri" w:cs="Calibri"/>
          <w:bCs/>
          <w:sz w:val="22"/>
          <w:szCs w:val="22"/>
        </w:rPr>
        <w:t>SN</w:t>
      </w:r>
      <w:r w:rsidR="0063291F" w:rsidRPr="0063291F">
        <w:rPr>
          <w:rFonts w:ascii="Calibri" w:hAnsi="Calibri" w:cs="Calibri"/>
          <w:bCs/>
          <w:sz w:val="22"/>
          <w:szCs w:val="22"/>
        </w:rPr>
        <w:t xml:space="preserve">. The overload situation is likely limited to one of the </w:t>
      </w:r>
      <w:r w:rsidR="00591F4E">
        <w:rPr>
          <w:rFonts w:ascii="Calibri" w:hAnsi="Calibri" w:cs="Calibri"/>
          <w:bCs/>
          <w:sz w:val="22"/>
          <w:szCs w:val="22"/>
        </w:rPr>
        <w:t xml:space="preserve">RAN </w:t>
      </w:r>
      <w:r w:rsidR="0063291F" w:rsidRPr="0063291F">
        <w:rPr>
          <w:rFonts w:ascii="Calibri" w:hAnsi="Calibri" w:cs="Calibri"/>
          <w:bCs/>
          <w:sz w:val="22"/>
          <w:szCs w:val="22"/>
        </w:rPr>
        <w:t xml:space="preserve">nodes, </w:t>
      </w:r>
      <w:r w:rsidR="008253F1">
        <w:rPr>
          <w:rFonts w:ascii="Calibri" w:hAnsi="Calibri" w:cs="Calibri"/>
          <w:bCs/>
          <w:sz w:val="22"/>
          <w:szCs w:val="22"/>
        </w:rPr>
        <w:t>so, i</w:t>
      </w:r>
      <w:r w:rsidR="0063291F" w:rsidRPr="0063291F">
        <w:rPr>
          <w:rFonts w:ascii="Calibri" w:hAnsi="Calibri" w:cs="Calibri"/>
          <w:bCs/>
          <w:sz w:val="22"/>
          <w:szCs w:val="22"/>
        </w:rPr>
        <w:t xml:space="preserve">f one of the nodes is overloaded, the QoE reports can </w:t>
      </w:r>
      <w:r w:rsidR="009F4890">
        <w:rPr>
          <w:rFonts w:ascii="Calibri" w:hAnsi="Calibri" w:cs="Calibri"/>
          <w:bCs/>
          <w:sz w:val="22"/>
          <w:szCs w:val="22"/>
        </w:rPr>
        <w:t xml:space="preserve">be </w:t>
      </w:r>
      <w:r w:rsidR="0063291F" w:rsidRPr="0063291F">
        <w:rPr>
          <w:rFonts w:ascii="Calibri" w:hAnsi="Calibri" w:cs="Calibri"/>
          <w:bCs/>
          <w:sz w:val="22"/>
          <w:szCs w:val="22"/>
        </w:rPr>
        <w:lastRenderedPageBreak/>
        <w:t xml:space="preserve">transmitted via the other node without increasing the load in the overloaded node. </w:t>
      </w:r>
      <w:r w:rsidR="00AC25E0">
        <w:rPr>
          <w:rFonts w:ascii="Calibri" w:hAnsi="Calibri" w:cs="Calibri"/>
          <w:bCs/>
          <w:sz w:val="22"/>
          <w:szCs w:val="22"/>
        </w:rPr>
        <w:t xml:space="preserve">This implies that both the MN and </w:t>
      </w:r>
      <w:r w:rsidR="00545817">
        <w:rPr>
          <w:rFonts w:ascii="Calibri" w:hAnsi="Calibri" w:cs="Calibri"/>
          <w:bCs/>
          <w:sz w:val="22"/>
          <w:szCs w:val="22"/>
        </w:rPr>
        <w:t xml:space="preserve">the </w:t>
      </w:r>
      <w:r w:rsidR="00AC25E0">
        <w:rPr>
          <w:rFonts w:ascii="Calibri" w:hAnsi="Calibri" w:cs="Calibri"/>
          <w:bCs/>
          <w:sz w:val="22"/>
          <w:szCs w:val="22"/>
        </w:rPr>
        <w:t>SN should be able to set up SRB4 towards the UE.</w:t>
      </w:r>
    </w:p>
    <w:p w14:paraId="3BA0C882" w14:textId="5F5B7A4E" w:rsidR="00C24DCA" w:rsidRPr="005235BF" w:rsidRDefault="00C24DCA" w:rsidP="00377E8F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 w:rsidRPr="005235BF">
        <w:rPr>
          <w:rFonts w:ascii="Calibri" w:hAnsi="Calibri" w:cs="Calibri"/>
          <w:b/>
          <w:sz w:val="22"/>
          <w:szCs w:val="22"/>
        </w:rPr>
        <w:t xml:space="preserve">Observation 1: The text of the Rel-18 WID implies that QoE and/or RVQoE reporting </w:t>
      </w:r>
      <w:r w:rsidR="005235BF">
        <w:rPr>
          <w:rFonts w:ascii="Calibri" w:hAnsi="Calibri" w:cs="Calibri"/>
          <w:b/>
          <w:sz w:val="22"/>
          <w:szCs w:val="22"/>
        </w:rPr>
        <w:t xml:space="preserve">can be done </w:t>
      </w:r>
      <w:r w:rsidR="00545817">
        <w:rPr>
          <w:rFonts w:ascii="Calibri" w:hAnsi="Calibri" w:cs="Calibri"/>
          <w:b/>
          <w:sz w:val="22"/>
          <w:szCs w:val="22"/>
        </w:rPr>
        <w:t>to</w:t>
      </w:r>
      <w:r w:rsidR="005235BF">
        <w:rPr>
          <w:rFonts w:ascii="Calibri" w:hAnsi="Calibri" w:cs="Calibri"/>
          <w:b/>
          <w:sz w:val="22"/>
          <w:szCs w:val="22"/>
        </w:rPr>
        <w:t xml:space="preserve"> both </w:t>
      </w:r>
      <w:r w:rsidR="00545817">
        <w:rPr>
          <w:rFonts w:ascii="Calibri" w:hAnsi="Calibri" w:cs="Calibri"/>
          <w:b/>
          <w:sz w:val="22"/>
          <w:szCs w:val="22"/>
        </w:rPr>
        <w:t xml:space="preserve">the </w:t>
      </w:r>
      <w:r w:rsidR="005235BF">
        <w:rPr>
          <w:rFonts w:ascii="Calibri" w:hAnsi="Calibri" w:cs="Calibri"/>
          <w:b/>
          <w:sz w:val="22"/>
          <w:szCs w:val="22"/>
        </w:rPr>
        <w:t xml:space="preserve">MN and </w:t>
      </w:r>
      <w:r w:rsidR="00545817">
        <w:rPr>
          <w:rFonts w:ascii="Calibri" w:hAnsi="Calibri" w:cs="Calibri"/>
          <w:b/>
          <w:sz w:val="22"/>
          <w:szCs w:val="22"/>
        </w:rPr>
        <w:t xml:space="preserve">the </w:t>
      </w:r>
      <w:r w:rsidR="005235BF">
        <w:rPr>
          <w:rFonts w:ascii="Calibri" w:hAnsi="Calibri" w:cs="Calibri"/>
          <w:b/>
          <w:sz w:val="22"/>
          <w:szCs w:val="22"/>
        </w:rPr>
        <w:t>SN.</w:t>
      </w:r>
    </w:p>
    <w:p w14:paraId="2525A28D" w14:textId="3359F17C" w:rsidR="0063291F" w:rsidRDefault="0063291F" w:rsidP="00377E8F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 w:rsidRPr="0063291F">
        <w:rPr>
          <w:rFonts w:ascii="Calibri" w:hAnsi="Calibri" w:cs="Calibri"/>
          <w:bCs/>
          <w:sz w:val="22"/>
          <w:szCs w:val="22"/>
        </w:rPr>
        <w:t>Split SRBs and SCG SRBs are already specified in</w:t>
      </w:r>
      <w:r w:rsidR="00E55380">
        <w:rPr>
          <w:rFonts w:ascii="Calibri" w:hAnsi="Calibri" w:cs="Calibri"/>
          <w:bCs/>
          <w:sz w:val="22"/>
          <w:szCs w:val="22"/>
        </w:rPr>
        <w:t xml:space="preserve"> TS</w:t>
      </w:r>
      <w:r w:rsidRPr="0063291F">
        <w:rPr>
          <w:rFonts w:ascii="Calibri" w:hAnsi="Calibri" w:cs="Calibri"/>
          <w:bCs/>
          <w:sz w:val="22"/>
          <w:szCs w:val="22"/>
        </w:rPr>
        <w:t xml:space="preserve"> 38.331. </w:t>
      </w:r>
      <w:r w:rsidR="00A30D6A">
        <w:rPr>
          <w:rFonts w:ascii="Calibri" w:hAnsi="Calibri" w:cs="Calibri"/>
          <w:bCs/>
          <w:sz w:val="22"/>
          <w:szCs w:val="22"/>
        </w:rPr>
        <w:t>A</w:t>
      </w:r>
      <w:r w:rsidRPr="0063291F">
        <w:rPr>
          <w:rFonts w:ascii="Calibri" w:hAnsi="Calibri" w:cs="Calibri"/>
          <w:bCs/>
          <w:sz w:val="22"/>
          <w:szCs w:val="22"/>
        </w:rPr>
        <w:t>llow</w:t>
      </w:r>
      <w:r w:rsidR="00A30D6A">
        <w:rPr>
          <w:rFonts w:ascii="Calibri" w:hAnsi="Calibri" w:cs="Calibri"/>
          <w:bCs/>
          <w:sz w:val="22"/>
          <w:szCs w:val="22"/>
        </w:rPr>
        <w:t>ing the</w:t>
      </w:r>
      <w:r w:rsidRPr="0063291F">
        <w:rPr>
          <w:rFonts w:ascii="Calibri" w:hAnsi="Calibri" w:cs="Calibri"/>
          <w:bCs/>
          <w:sz w:val="22"/>
          <w:szCs w:val="22"/>
        </w:rPr>
        <w:t xml:space="preserve"> configuration of SRB4 as a split bearer or an SCG bearer</w:t>
      </w:r>
      <w:r w:rsidR="00A30D6A">
        <w:rPr>
          <w:rFonts w:ascii="Calibri" w:hAnsi="Calibri" w:cs="Calibri"/>
          <w:bCs/>
          <w:sz w:val="22"/>
          <w:szCs w:val="22"/>
        </w:rPr>
        <w:t xml:space="preserve"> </w:t>
      </w:r>
      <w:r w:rsidR="00A30D6A" w:rsidRPr="0063291F">
        <w:rPr>
          <w:rFonts w:ascii="Calibri" w:hAnsi="Calibri" w:cs="Calibri"/>
          <w:bCs/>
          <w:sz w:val="22"/>
          <w:szCs w:val="22"/>
        </w:rPr>
        <w:t xml:space="preserve">would have minimal impact (if any) on </w:t>
      </w:r>
      <w:r w:rsidR="00A30D6A">
        <w:rPr>
          <w:rFonts w:ascii="Calibri" w:hAnsi="Calibri" w:cs="Calibri"/>
          <w:bCs/>
          <w:sz w:val="22"/>
          <w:szCs w:val="22"/>
        </w:rPr>
        <w:t xml:space="preserve">TS </w:t>
      </w:r>
      <w:r w:rsidR="00A30D6A" w:rsidRPr="0063291F">
        <w:rPr>
          <w:rFonts w:ascii="Calibri" w:hAnsi="Calibri" w:cs="Calibri"/>
          <w:bCs/>
          <w:sz w:val="22"/>
          <w:szCs w:val="22"/>
        </w:rPr>
        <w:t>38.331</w:t>
      </w:r>
      <w:r w:rsidRPr="0063291F">
        <w:rPr>
          <w:rFonts w:ascii="Calibri" w:hAnsi="Calibri" w:cs="Calibri"/>
          <w:bCs/>
          <w:sz w:val="22"/>
          <w:szCs w:val="22"/>
        </w:rPr>
        <w:t xml:space="preserve">, but it would be very useful in case one </w:t>
      </w:r>
      <w:r w:rsidR="00A30D6A">
        <w:rPr>
          <w:rFonts w:ascii="Calibri" w:hAnsi="Calibri" w:cs="Calibri"/>
          <w:bCs/>
          <w:sz w:val="22"/>
          <w:szCs w:val="22"/>
        </w:rPr>
        <w:t xml:space="preserve">of the servings </w:t>
      </w:r>
      <w:r w:rsidRPr="0063291F">
        <w:rPr>
          <w:rFonts w:ascii="Calibri" w:hAnsi="Calibri" w:cs="Calibri"/>
          <w:bCs/>
          <w:sz w:val="22"/>
          <w:szCs w:val="22"/>
        </w:rPr>
        <w:t>node</w:t>
      </w:r>
      <w:r w:rsidR="00A30D6A">
        <w:rPr>
          <w:rFonts w:ascii="Calibri" w:hAnsi="Calibri" w:cs="Calibri"/>
          <w:bCs/>
          <w:sz w:val="22"/>
          <w:szCs w:val="22"/>
        </w:rPr>
        <w:t>s</w:t>
      </w:r>
      <w:r w:rsidRPr="0063291F">
        <w:rPr>
          <w:rFonts w:ascii="Calibri" w:hAnsi="Calibri" w:cs="Calibri"/>
          <w:bCs/>
          <w:sz w:val="22"/>
          <w:szCs w:val="22"/>
        </w:rPr>
        <w:t xml:space="preserve"> is overloaded. The network may then decide to configure </w:t>
      </w:r>
      <w:r w:rsidR="00C700A1">
        <w:rPr>
          <w:rFonts w:ascii="Calibri" w:hAnsi="Calibri" w:cs="Calibri"/>
          <w:bCs/>
          <w:sz w:val="22"/>
          <w:szCs w:val="22"/>
        </w:rPr>
        <w:t>the</w:t>
      </w:r>
      <w:r w:rsidRPr="0063291F">
        <w:rPr>
          <w:rFonts w:ascii="Calibri" w:hAnsi="Calibri" w:cs="Calibri"/>
          <w:bCs/>
          <w:sz w:val="22"/>
          <w:szCs w:val="22"/>
        </w:rPr>
        <w:t xml:space="preserve"> SRB4 as an MCG bearer, an SCG bearer</w:t>
      </w:r>
      <w:r w:rsidR="00C700A1">
        <w:rPr>
          <w:rFonts w:ascii="Calibri" w:hAnsi="Calibri" w:cs="Calibri"/>
          <w:bCs/>
          <w:sz w:val="22"/>
          <w:szCs w:val="22"/>
        </w:rPr>
        <w:t>,</w:t>
      </w:r>
      <w:r w:rsidRPr="0063291F">
        <w:rPr>
          <w:rFonts w:ascii="Calibri" w:hAnsi="Calibri" w:cs="Calibri"/>
          <w:bCs/>
          <w:sz w:val="22"/>
          <w:szCs w:val="22"/>
        </w:rPr>
        <w:t xml:space="preserve"> or a split bearer</w:t>
      </w:r>
      <w:r w:rsidR="00C700A1">
        <w:rPr>
          <w:rFonts w:ascii="Calibri" w:hAnsi="Calibri" w:cs="Calibri"/>
          <w:bCs/>
          <w:sz w:val="22"/>
          <w:szCs w:val="22"/>
        </w:rPr>
        <w:t>,</w:t>
      </w:r>
      <w:r w:rsidRPr="0063291F">
        <w:rPr>
          <w:rFonts w:ascii="Calibri" w:hAnsi="Calibri" w:cs="Calibri"/>
          <w:bCs/>
          <w:sz w:val="22"/>
          <w:szCs w:val="22"/>
        </w:rPr>
        <w:t xml:space="preserve"> depending on the load situation. </w:t>
      </w:r>
    </w:p>
    <w:p w14:paraId="290078BD" w14:textId="4F7464F3" w:rsidR="002F3676" w:rsidRPr="002F3676" w:rsidRDefault="002F3676" w:rsidP="00377E8F">
      <w:pPr>
        <w:spacing w:before="120" w:after="0"/>
        <w:jc w:val="left"/>
        <w:rPr>
          <w:rFonts w:asciiTheme="minorHAnsi" w:hAnsiTheme="minorHAnsi"/>
          <w:b/>
          <w:sz w:val="22"/>
          <w:szCs w:val="22"/>
        </w:rPr>
      </w:pPr>
      <w:r w:rsidRPr="002F3676">
        <w:rPr>
          <w:rFonts w:asciiTheme="minorHAnsi" w:hAnsiTheme="minorHAnsi"/>
          <w:b/>
          <w:sz w:val="22"/>
          <w:szCs w:val="22"/>
        </w:rPr>
        <w:t>Proposal 2: SRB4 can be configured as an MCG bearer, an SCG bearer, or a split bearer.</w:t>
      </w:r>
    </w:p>
    <w:p w14:paraId="6C36DB55" w14:textId="1F77F256" w:rsidR="00204596" w:rsidRDefault="00E10191" w:rsidP="00377E8F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The formulation </w:t>
      </w:r>
      <w:r w:rsidRPr="00C54142">
        <w:rPr>
          <w:rFonts w:ascii="Calibri" w:hAnsi="Calibri" w:cs="Calibri"/>
          <w:bCs/>
          <w:sz w:val="22"/>
          <w:szCs w:val="22"/>
        </w:rPr>
        <w:t>“</w:t>
      </w:r>
      <w:r w:rsidR="00C54142" w:rsidRPr="00C54142">
        <w:rPr>
          <w:rFonts w:ascii="Times New Roman" w:hAnsi="Times New Roman"/>
        </w:rPr>
        <w:t xml:space="preserve">specify the QoE measurement reporting over the other DC leg </w:t>
      </w:r>
      <w:proofErr w:type="gramStart"/>
      <w:r w:rsidR="00C54142" w:rsidRPr="00C54142">
        <w:rPr>
          <w:rFonts w:ascii="Times New Roman" w:hAnsi="Times New Roman"/>
          <w:lang w:val="en-US"/>
        </w:rPr>
        <w:t>in order</w:t>
      </w:r>
      <w:r w:rsidR="00C54142" w:rsidRPr="004A6844">
        <w:rPr>
          <w:rFonts w:ascii="Times New Roman" w:hAnsi="Times New Roman"/>
          <w:lang w:val="en-US"/>
        </w:rPr>
        <w:t xml:space="preserve"> to</w:t>
      </w:r>
      <w:proofErr w:type="gramEnd"/>
      <w:r w:rsidR="00C54142" w:rsidRPr="004A6844">
        <w:rPr>
          <w:rFonts w:ascii="Times New Roman" w:hAnsi="Times New Roman"/>
          <w:lang w:val="en-US"/>
        </w:rPr>
        <w:t xml:space="preserve"> maintain the reporting continuity</w:t>
      </w:r>
      <w:r>
        <w:rPr>
          <w:rFonts w:ascii="Calibri" w:hAnsi="Calibri" w:cs="Calibri"/>
          <w:bCs/>
          <w:sz w:val="22"/>
          <w:szCs w:val="22"/>
        </w:rPr>
        <w:t>”</w:t>
      </w:r>
      <w:r w:rsidR="00C54142">
        <w:rPr>
          <w:rFonts w:ascii="Calibri" w:hAnsi="Calibri" w:cs="Calibri"/>
          <w:bCs/>
          <w:sz w:val="22"/>
          <w:szCs w:val="22"/>
        </w:rPr>
        <w:t>, and especially the “</w:t>
      </w:r>
      <w:r w:rsidR="00C54142" w:rsidRPr="004A6844">
        <w:rPr>
          <w:rFonts w:ascii="Times New Roman" w:hAnsi="Times New Roman"/>
          <w:lang w:val="en-US"/>
        </w:rPr>
        <w:t>to maintain the reporting continuity</w:t>
      </w:r>
      <w:r w:rsidR="00C54142">
        <w:rPr>
          <w:rFonts w:ascii="Calibri" w:hAnsi="Calibri" w:cs="Calibri"/>
          <w:bCs/>
          <w:sz w:val="22"/>
          <w:szCs w:val="22"/>
        </w:rPr>
        <w:t>” part</w:t>
      </w:r>
      <w:r w:rsidR="00CE3529">
        <w:rPr>
          <w:rFonts w:ascii="Calibri" w:hAnsi="Calibri" w:cs="Calibri"/>
          <w:bCs/>
          <w:sz w:val="22"/>
          <w:szCs w:val="22"/>
        </w:rPr>
        <w:t>,</w:t>
      </w:r>
      <w:r w:rsidR="00C54142">
        <w:rPr>
          <w:rFonts w:ascii="Calibri" w:hAnsi="Calibri" w:cs="Calibri"/>
          <w:bCs/>
          <w:sz w:val="22"/>
          <w:szCs w:val="22"/>
        </w:rPr>
        <w:t xml:space="preserve"> implies that the </w:t>
      </w:r>
      <w:r w:rsidR="002D11EB">
        <w:rPr>
          <w:rFonts w:ascii="Calibri" w:hAnsi="Calibri" w:cs="Calibri"/>
          <w:bCs/>
          <w:sz w:val="22"/>
          <w:szCs w:val="22"/>
        </w:rPr>
        <w:t xml:space="preserve">leg over which the </w:t>
      </w:r>
      <w:r w:rsidR="002D11EB" w:rsidRPr="002D11EB">
        <w:rPr>
          <w:rFonts w:ascii="Calibri" w:hAnsi="Calibri" w:cs="Calibri"/>
          <w:bCs/>
          <w:sz w:val="22"/>
          <w:szCs w:val="22"/>
        </w:rPr>
        <w:t xml:space="preserve">QoE reports and/or RVQoE reports are delivered to the network can be changed </w:t>
      </w:r>
      <w:r w:rsidR="002D11EB" w:rsidRPr="00C700A1">
        <w:rPr>
          <w:rFonts w:ascii="Calibri" w:hAnsi="Calibri" w:cs="Calibri"/>
          <w:b/>
          <w:sz w:val="22"/>
          <w:szCs w:val="22"/>
        </w:rPr>
        <w:t>during</w:t>
      </w:r>
      <w:r w:rsidR="002D11EB" w:rsidRPr="002D11EB">
        <w:rPr>
          <w:rFonts w:ascii="Calibri" w:hAnsi="Calibri" w:cs="Calibri"/>
          <w:bCs/>
          <w:sz w:val="22"/>
          <w:szCs w:val="22"/>
        </w:rPr>
        <w:t xml:space="preserve"> the application session</w:t>
      </w:r>
      <w:r w:rsidR="002D11EB">
        <w:rPr>
          <w:rFonts w:ascii="Calibri" w:hAnsi="Calibri" w:cs="Calibri"/>
          <w:bCs/>
          <w:sz w:val="22"/>
          <w:szCs w:val="22"/>
        </w:rPr>
        <w:t>.</w:t>
      </w:r>
    </w:p>
    <w:p w14:paraId="5C984277" w14:textId="53E88483" w:rsidR="00290155" w:rsidRPr="00290155" w:rsidRDefault="00290155" w:rsidP="00377E8F">
      <w:pPr>
        <w:spacing w:before="120" w:after="0"/>
        <w:jc w:val="left"/>
        <w:rPr>
          <w:rFonts w:asciiTheme="minorHAnsi" w:hAnsiTheme="minorHAnsi"/>
          <w:b/>
          <w:sz w:val="22"/>
          <w:szCs w:val="22"/>
        </w:rPr>
      </w:pPr>
      <w:r w:rsidRPr="00290155">
        <w:rPr>
          <w:rFonts w:asciiTheme="minorHAnsi" w:hAnsiTheme="minorHAnsi"/>
          <w:b/>
          <w:sz w:val="22"/>
          <w:szCs w:val="22"/>
        </w:rPr>
        <w:t xml:space="preserve">Proposal 3: The leg over which the </w:t>
      </w:r>
      <w:r w:rsidR="00A40F2C">
        <w:rPr>
          <w:rFonts w:asciiTheme="minorHAnsi" w:hAnsiTheme="minorHAnsi"/>
          <w:b/>
          <w:sz w:val="22"/>
          <w:szCs w:val="22"/>
        </w:rPr>
        <w:t>dual-connected UE sends the</w:t>
      </w:r>
      <w:r w:rsidRPr="00290155">
        <w:rPr>
          <w:rFonts w:asciiTheme="minorHAnsi" w:hAnsiTheme="minorHAnsi"/>
          <w:b/>
          <w:sz w:val="22"/>
          <w:szCs w:val="22"/>
        </w:rPr>
        <w:t xml:space="preserve"> QoE reports and/or RVQoE reports to the network can be changed during the application session</w:t>
      </w:r>
      <w:r>
        <w:rPr>
          <w:rFonts w:asciiTheme="minorHAnsi" w:hAnsiTheme="minorHAnsi"/>
          <w:b/>
          <w:sz w:val="22"/>
          <w:szCs w:val="22"/>
        </w:rPr>
        <w:t>.</w:t>
      </w:r>
    </w:p>
    <w:p w14:paraId="2E3272C9" w14:textId="2E4D99DA" w:rsidR="00C348D0" w:rsidRPr="005F7D35" w:rsidRDefault="005F7D35" w:rsidP="00377E8F">
      <w:pPr>
        <w:spacing w:before="120" w:after="0"/>
        <w:jc w:val="left"/>
        <w:rPr>
          <w:rFonts w:ascii="Calibri" w:hAnsi="Calibri" w:cs="Calibri"/>
          <w:bCs/>
          <w:sz w:val="22"/>
          <w:szCs w:val="22"/>
        </w:rPr>
      </w:pPr>
      <w:r w:rsidRPr="005F7D35">
        <w:rPr>
          <w:rFonts w:ascii="Calibri" w:hAnsi="Calibri" w:cs="Calibri"/>
          <w:bCs/>
          <w:sz w:val="22"/>
          <w:szCs w:val="22"/>
        </w:rPr>
        <w:t>A</w:t>
      </w:r>
      <w:r w:rsidR="0078458C">
        <w:rPr>
          <w:rFonts w:ascii="Calibri" w:hAnsi="Calibri" w:cs="Calibri"/>
          <w:bCs/>
          <w:sz w:val="22"/>
          <w:szCs w:val="22"/>
        </w:rPr>
        <w:t xml:space="preserve">n application session </w:t>
      </w:r>
      <w:r w:rsidR="00555DD4">
        <w:rPr>
          <w:rFonts w:ascii="Calibri" w:hAnsi="Calibri" w:cs="Calibri"/>
          <w:bCs/>
          <w:sz w:val="22"/>
          <w:szCs w:val="22"/>
        </w:rPr>
        <w:t xml:space="preserve">can be delivered </w:t>
      </w:r>
      <w:r w:rsidR="0078458C">
        <w:rPr>
          <w:rFonts w:ascii="Calibri" w:hAnsi="Calibri" w:cs="Calibri"/>
          <w:bCs/>
          <w:sz w:val="22"/>
          <w:szCs w:val="22"/>
        </w:rPr>
        <w:t xml:space="preserve">to the </w:t>
      </w:r>
      <w:r w:rsidR="00555DD4">
        <w:rPr>
          <w:rFonts w:ascii="Calibri" w:hAnsi="Calibri" w:cs="Calibri"/>
          <w:bCs/>
          <w:sz w:val="22"/>
          <w:szCs w:val="22"/>
        </w:rPr>
        <w:t xml:space="preserve">dual-connected UE over one of the two legs. </w:t>
      </w:r>
      <w:r w:rsidR="007D18D7">
        <w:rPr>
          <w:rFonts w:ascii="Calibri" w:hAnsi="Calibri" w:cs="Calibri"/>
          <w:bCs/>
          <w:sz w:val="22"/>
          <w:szCs w:val="22"/>
        </w:rPr>
        <w:t xml:space="preserve">If the session is delivered via the SN, the SN should be able to configure the </w:t>
      </w:r>
      <w:r w:rsidR="006E788F">
        <w:rPr>
          <w:rFonts w:ascii="Calibri" w:hAnsi="Calibri" w:cs="Calibri"/>
          <w:bCs/>
          <w:sz w:val="22"/>
          <w:szCs w:val="22"/>
        </w:rPr>
        <w:t>RVQoE measurements to the UE.</w:t>
      </w:r>
    </w:p>
    <w:p w14:paraId="32844A62" w14:textId="26BEC348" w:rsidR="00C63A43" w:rsidRPr="006E788F" w:rsidRDefault="00C63A43" w:rsidP="00377E8F">
      <w:pPr>
        <w:spacing w:before="120" w:after="0"/>
        <w:jc w:val="left"/>
        <w:rPr>
          <w:rFonts w:asciiTheme="minorHAnsi" w:hAnsiTheme="minorHAnsi"/>
          <w:b/>
          <w:sz w:val="22"/>
          <w:szCs w:val="22"/>
        </w:rPr>
      </w:pPr>
      <w:r w:rsidRPr="006E788F">
        <w:rPr>
          <w:rFonts w:asciiTheme="minorHAnsi" w:hAnsiTheme="minorHAnsi"/>
          <w:b/>
          <w:sz w:val="22"/>
          <w:szCs w:val="22"/>
        </w:rPr>
        <w:t>P</w:t>
      </w:r>
      <w:r w:rsidR="006E788F" w:rsidRPr="006E788F">
        <w:rPr>
          <w:rFonts w:asciiTheme="minorHAnsi" w:hAnsiTheme="minorHAnsi"/>
          <w:b/>
          <w:sz w:val="22"/>
          <w:szCs w:val="22"/>
        </w:rPr>
        <w:t xml:space="preserve">roposal </w:t>
      </w:r>
      <w:r w:rsidRPr="006E788F">
        <w:rPr>
          <w:rFonts w:asciiTheme="minorHAnsi" w:hAnsiTheme="minorHAnsi"/>
          <w:b/>
          <w:sz w:val="22"/>
          <w:szCs w:val="22"/>
        </w:rPr>
        <w:t>4: Both the MN and the SN are allowed to configure the RVQoE measurements for the UE.</w:t>
      </w:r>
    </w:p>
    <w:p w14:paraId="46696CDB" w14:textId="31C1D3FA" w:rsidR="005A4764" w:rsidRDefault="005A4764" w:rsidP="00377E8F">
      <w:pPr>
        <w:spacing w:before="120" w:after="0"/>
        <w:jc w:val="lef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The WID also states the following:</w:t>
      </w:r>
    </w:p>
    <w:p w14:paraId="7C279958" w14:textId="77777777" w:rsidR="005A4764" w:rsidRPr="004A6844" w:rsidRDefault="005A4764" w:rsidP="00377E8F">
      <w:pPr>
        <w:numPr>
          <w:ilvl w:val="0"/>
          <w:numId w:val="23"/>
        </w:numPr>
        <w:spacing w:before="120" w:after="0"/>
        <w:ind w:left="1276" w:hanging="360"/>
        <w:jc w:val="left"/>
        <w:rPr>
          <w:rFonts w:ascii="Times New Roman" w:hAnsi="Times New Roman"/>
          <w:bCs/>
        </w:rPr>
      </w:pPr>
      <w:r w:rsidRPr="004A6844">
        <w:rPr>
          <w:rFonts w:ascii="Times New Roman" w:hAnsi="Times New Roman"/>
        </w:rPr>
        <w:t>Specify the QoE measurement continuity in mobility scenarios in NR-DC</w:t>
      </w:r>
      <w:r w:rsidRPr="004A6844">
        <w:rPr>
          <w:rFonts w:ascii="Times New Roman" w:hAnsi="Times New Roman"/>
          <w:bCs/>
        </w:rPr>
        <w:t>.</w:t>
      </w:r>
    </w:p>
    <w:p w14:paraId="1632BA4F" w14:textId="77777777" w:rsidR="005A4764" w:rsidRDefault="005A4764" w:rsidP="00377E8F">
      <w:pPr>
        <w:numPr>
          <w:ilvl w:val="0"/>
          <w:numId w:val="23"/>
        </w:numPr>
        <w:spacing w:before="120" w:after="0"/>
        <w:ind w:left="1276" w:hanging="360"/>
        <w:jc w:val="left"/>
        <w:rPr>
          <w:rFonts w:ascii="Times New Roman" w:hAnsi="Times New Roman"/>
          <w:bCs/>
        </w:rPr>
      </w:pPr>
      <w:r w:rsidRPr="004A6844">
        <w:rPr>
          <w:rFonts w:ascii="Times New Roman" w:hAnsi="Times New Roman"/>
        </w:rPr>
        <w:t>Specify the alignment of QoE</w:t>
      </w:r>
      <w:r w:rsidRPr="004A6844">
        <w:rPr>
          <w:rFonts w:ascii="Times New Roman" w:hAnsi="Times New Roman"/>
          <w:lang w:val="en-US"/>
        </w:rPr>
        <w:t xml:space="preserve"> measurements (including legacy QoE and RAN visible QoE measurements)</w:t>
      </w:r>
      <w:r w:rsidRPr="004A6844">
        <w:rPr>
          <w:rFonts w:ascii="Times New Roman" w:hAnsi="Times New Roman"/>
        </w:rPr>
        <w:t xml:space="preserve"> and radio related measurement in NR-DC</w:t>
      </w:r>
      <w:r w:rsidRPr="004A6844">
        <w:rPr>
          <w:rFonts w:ascii="Times New Roman" w:hAnsi="Times New Roman"/>
          <w:bCs/>
        </w:rPr>
        <w:t>.</w:t>
      </w:r>
    </w:p>
    <w:p w14:paraId="0B489FD0" w14:textId="2C5E4C55" w:rsidR="005A4764" w:rsidRDefault="00B71ED1" w:rsidP="00377E8F">
      <w:pPr>
        <w:spacing w:before="120" w:after="0"/>
        <w:jc w:val="lef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The mobility </w:t>
      </w:r>
      <w:r w:rsidR="00BC1B5D">
        <w:rPr>
          <w:rFonts w:asciiTheme="minorHAnsi" w:hAnsiTheme="minorHAnsi"/>
          <w:bCs/>
          <w:sz w:val="22"/>
          <w:szCs w:val="22"/>
        </w:rPr>
        <w:t xml:space="preserve">scenarios in NR-DC and the </w:t>
      </w:r>
      <w:r w:rsidR="002C2486">
        <w:rPr>
          <w:rFonts w:asciiTheme="minorHAnsi" w:hAnsiTheme="minorHAnsi"/>
          <w:bCs/>
          <w:sz w:val="22"/>
          <w:szCs w:val="22"/>
        </w:rPr>
        <w:t xml:space="preserve">QoE-MDT measurement </w:t>
      </w:r>
      <w:r w:rsidR="00BC1B5D">
        <w:rPr>
          <w:rFonts w:asciiTheme="minorHAnsi" w:hAnsiTheme="minorHAnsi"/>
          <w:bCs/>
          <w:sz w:val="22"/>
          <w:szCs w:val="22"/>
        </w:rPr>
        <w:t xml:space="preserve">alignment in NR-DC </w:t>
      </w:r>
      <w:r w:rsidR="009E09DF">
        <w:rPr>
          <w:rFonts w:asciiTheme="minorHAnsi" w:hAnsiTheme="minorHAnsi"/>
          <w:bCs/>
          <w:sz w:val="22"/>
          <w:szCs w:val="22"/>
        </w:rPr>
        <w:t xml:space="preserve">are beyond </w:t>
      </w:r>
      <w:r w:rsidR="00EB21BE">
        <w:rPr>
          <w:rFonts w:asciiTheme="minorHAnsi" w:hAnsiTheme="minorHAnsi"/>
          <w:bCs/>
          <w:sz w:val="22"/>
          <w:szCs w:val="22"/>
        </w:rPr>
        <w:t xml:space="preserve">the </w:t>
      </w:r>
      <w:r w:rsidR="009E09DF">
        <w:rPr>
          <w:rFonts w:asciiTheme="minorHAnsi" w:hAnsiTheme="minorHAnsi"/>
          <w:bCs/>
          <w:sz w:val="22"/>
          <w:szCs w:val="22"/>
        </w:rPr>
        <w:t>basic</w:t>
      </w:r>
      <w:r w:rsidR="00EB21BE">
        <w:rPr>
          <w:rFonts w:asciiTheme="minorHAnsi" w:hAnsiTheme="minorHAnsi"/>
          <w:bCs/>
          <w:sz w:val="22"/>
          <w:szCs w:val="22"/>
        </w:rPr>
        <w:t xml:space="preserve"> solution</w:t>
      </w:r>
      <w:r w:rsidR="009E09DF">
        <w:rPr>
          <w:rFonts w:asciiTheme="minorHAnsi" w:hAnsiTheme="minorHAnsi"/>
          <w:bCs/>
          <w:sz w:val="22"/>
          <w:szCs w:val="22"/>
        </w:rPr>
        <w:t xml:space="preserve"> and </w:t>
      </w:r>
      <w:r w:rsidR="002F306A" w:rsidRPr="002F306A">
        <w:rPr>
          <w:rFonts w:asciiTheme="minorHAnsi" w:hAnsiTheme="minorHAnsi"/>
          <w:bCs/>
          <w:sz w:val="22"/>
          <w:szCs w:val="22"/>
        </w:rPr>
        <w:t>can be discussed once</w:t>
      </w:r>
      <w:r w:rsidR="009E09DF">
        <w:rPr>
          <w:rFonts w:asciiTheme="minorHAnsi" w:hAnsiTheme="minorHAnsi"/>
          <w:bCs/>
          <w:sz w:val="22"/>
          <w:szCs w:val="22"/>
        </w:rPr>
        <w:t xml:space="preserve"> the basic solution for QMC support in NR-DC</w:t>
      </w:r>
      <w:r w:rsidR="002F306A" w:rsidRPr="002F306A">
        <w:rPr>
          <w:rFonts w:asciiTheme="minorHAnsi" w:hAnsiTheme="minorHAnsi"/>
          <w:bCs/>
          <w:sz w:val="22"/>
          <w:szCs w:val="22"/>
        </w:rPr>
        <w:t xml:space="preserve"> is agreed</w:t>
      </w:r>
      <w:r w:rsidR="009E09DF">
        <w:rPr>
          <w:rFonts w:asciiTheme="minorHAnsi" w:hAnsiTheme="minorHAnsi"/>
          <w:bCs/>
          <w:sz w:val="22"/>
          <w:szCs w:val="22"/>
        </w:rPr>
        <w:t xml:space="preserve">. </w:t>
      </w:r>
    </w:p>
    <w:p w14:paraId="18265F01" w14:textId="68A14527" w:rsidR="00C63A43" w:rsidRPr="00870B74" w:rsidRDefault="00C63A43" w:rsidP="00377E8F">
      <w:pPr>
        <w:spacing w:before="120" w:after="0"/>
        <w:jc w:val="left"/>
        <w:rPr>
          <w:rFonts w:asciiTheme="minorHAnsi" w:hAnsiTheme="minorHAnsi"/>
          <w:b/>
          <w:sz w:val="22"/>
          <w:szCs w:val="22"/>
        </w:rPr>
      </w:pPr>
      <w:r w:rsidRPr="00870B74">
        <w:rPr>
          <w:rFonts w:asciiTheme="minorHAnsi" w:hAnsiTheme="minorHAnsi"/>
          <w:b/>
          <w:sz w:val="22"/>
          <w:szCs w:val="22"/>
        </w:rPr>
        <w:t>P</w:t>
      </w:r>
      <w:r w:rsidR="00870B74" w:rsidRPr="00870B74">
        <w:rPr>
          <w:rFonts w:asciiTheme="minorHAnsi" w:hAnsiTheme="minorHAnsi"/>
          <w:b/>
          <w:sz w:val="22"/>
          <w:szCs w:val="22"/>
        </w:rPr>
        <w:t xml:space="preserve">roposal </w:t>
      </w:r>
      <w:r w:rsidRPr="00870B74">
        <w:rPr>
          <w:rFonts w:asciiTheme="minorHAnsi" w:hAnsiTheme="minorHAnsi"/>
          <w:b/>
          <w:sz w:val="22"/>
          <w:szCs w:val="22"/>
        </w:rPr>
        <w:t xml:space="preserve">5: Discuss the support for QoE measurement continuity in mobility scenarios in NR-DC after the basic solution for </w:t>
      </w:r>
      <w:r w:rsidR="0056180D">
        <w:rPr>
          <w:rFonts w:asciiTheme="minorHAnsi" w:hAnsiTheme="minorHAnsi"/>
          <w:b/>
          <w:sz w:val="22"/>
          <w:szCs w:val="22"/>
        </w:rPr>
        <w:t>supporting Q</w:t>
      </w:r>
      <w:r w:rsidR="00AE64D5">
        <w:rPr>
          <w:rFonts w:asciiTheme="minorHAnsi" w:hAnsiTheme="minorHAnsi"/>
          <w:b/>
          <w:sz w:val="22"/>
          <w:szCs w:val="22"/>
        </w:rPr>
        <w:t>oE and RVQoE measurements</w:t>
      </w:r>
      <w:r w:rsidR="0056180D">
        <w:rPr>
          <w:rFonts w:asciiTheme="minorHAnsi" w:hAnsiTheme="minorHAnsi"/>
          <w:b/>
          <w:sz w:val="22"/>
          <w:szCs w:val="22"/>
        </w:rPr>
        <w:t xml:space="preserve"> in </w:t>
      </w:r>
      <w:r w:rsidRPr="00870B74">
        <w:rPr>
          <w:rFonts w:asciiTheme="minorHAnsi" w:hAnsiTheme="minorHAnsi"/>
          <w:b/>
          <w:sz w:val="22"/>
          <w:szCs w:val="22"/>
        </w:rPr>
        <w:t>NR-DC has been settled.</w:t>
      </w:r>
    </w:p>
    <w:p w14:paraId="13177532" w14:textId="62B97B54" w:rsidR="00C63A43" w:rsidRPr="00870B74" w:rsidRDefault="00C63A43" w:rsidP="00377E8F">
      <w:pPr>
        <w:spacing w:before="120" w:after="0"/>
        <w:jc w:val="left"/>
        <w:rPr>
          <w:rFonts w:asciiTheme="minorHAnsi" w:hAnsiTheme="minorHAnsi"/>
          <w:b/>
          <w:sz w:val="22"/>
          <w:szCs w:val="22"/>
        </w:rPr>
      </w:pPr>
      <w:r w:rsidRPr="00870B74">
        <w:rPr>
          <w:rFonts w:asciiTheme="minorHAnsi" w:hAnsiTheme="minorHAnsi"/>
          <w:b/>
          <w:sz w:val="22"/>
          <w:szCs w:val="22"/>
        </w:rPr>
        <w:t>P</w:t>
      </w:r>
      <w:r w:rsidR="00870B74" w:rsidRPr="00870B74">
        <w:rPr>
          <w:rFonts w:asciiTheme="minorHAnsi" w:hAnsiTheme="minorHAnsi"/>
          <w:b/>
          <w:sz w:val="22"/>
          <w:szCs w:val="22"/>
        </w:rPr>
        <w:t xml:space="preserve">roposal </w:t>
      </w:r>
      <w:r w:rsidRPr="00870B74">
        <w:rPr>
          <w:rFonts w:asciiTheme="minorHAnsi" w:hAnsiTheme="minorHAnsi"/>
          <w:b/>
          <w:sz w:val="22"/>
          <w:szCs w:val="22"/>
        </w:rPr>
        <w:t xml:space="preserve">6: </w:t>
      </w:r>
      <w:r w:rsidR="007169E4">
        <w:rPr>
          <w:rFonts w:asciiTheme="minorHAnsi" w:hAnsiTheme="minorHAnsi"/>
          <w:b/>
          <w:sz w:val="22"/>
          <w:szCs w:val="22"/>
        </w:rPr>
        <w:t>Discuss the s</w:t>
      </w:r>
      <w:r w:rsidRPr="00870B74">
        <w:rPr>
          <w:rFonts w:asciiTheme="minorHAnsi" w:hAnsiTheme="minorHAnsi"/>
          <w:b/>
          <w:sz w:val="22"/>
          <w:szCs w:val="22"/>
        </w:rPr>
        <w:t xml:space="preserve">upport </w:t>
      </w:r>
      <w:r w:rsidR="007169E4">
        <w:rPr>
          <w:rFonts w:asciiTheme="minorHAnsi" w:hAnsiTheme="minorHAnsi"/>
          <w:b/>
          <w:sz w:val="22"/>
          <w:szCs w:val="22"/>
        </w:rPr>
        <w:t xml:space="preserve">for </w:t>
      </w:r>
      <w:r w:rsidRPr="00870B74">
        <w:rPr>
          <w:rFonts w:asciiTheme="minorHAnsi" w:hAnsiTheme="minorHAnsi"/>
          <w:b/>
          <w:sz w:val="22"/>
          <w:szCs w:val="22"/>
        </w:rPr>
        <w:t xml:space="preserve">the alignment of QoE/RVQoE measurements and radio related measurements collected by a UE in NR-DC after the </w:t>
      </w:r>
      <w:r w:rsidR="0071051B">
        <w:rPr>
          <w:rFonts w:asciiTheme="minorHAnsi" w:hAnsiTheme="minorHAnsi"/>
          <w:b/>
          <w:sz w:val="22"/>
          <w:szCs w:val="22"/>
        </w:rPr>
        <w:t>basic solution</w:t>
      </w:r>
      <w:r w:rsidRPr="00870B74">
        <w:rPr>
          <w:rFonts w:asciiTheme="minorHAnsi" w:hAnsiTheme="minorHAnsi"/>
          <w:b/>
          <w:sz w:val="22"/>
          <w:szCs w:val="22"/>
        </w:rPr>
        <w:t xml:space="preserve"> for </w:t>
      </w:r>
      <w:r w:rsidR="0056180D">
        <w:rPr>
          <w:rFonts w:asciiTheme="minorHAnsi" w:hAnsiTheme="minorHAnsi"/>
          <w:b/>
          <w:sz w:val="22"/>
          <w:szCs w:val="22"/>
        </w:rPr>
        <w:t xml:space="preserve">supporting </w:t>
      </w:r>
      <w:r w:rsidR="00987D07">
        <w:rPr>
          <w:rFonts w:asciiTheme="minorHAnsi" w:hAnsiTheme="minorHAnsi"/>
          <w:b/>
          <w:sz w:val="22"/>
          <w:szCs w:val="22"/>
        </w:rPr>
        <w:t>QoE and RVQoE measurements</w:t>
      </w:r>
      <w:r w:rsidR="0056180D">
        <w:rPr>
          <w:rFonts w:asciiTheme="minorHAnsi" w:hAnsiTheme="minorHAnsi"/>
          <w:b/>
          <w:sz w:val="22"/>
          <w:szCs w:val="22"/>
        </w:rPr>
        <w:t xml:space="preserve"> in </w:t>
      </w:r>
      <w:r w:rsidRPr="00870B74">
        <w:rPr>
          <w:rFonts w:asciiTheme="minorHAnsi" w:hAnsiTheme="minorHAnsi"/>
          <w:b/>
          <w:sz w:val="22"/>
          <w:szCs w:val="22"/>
        </w:rPr>
        <w:t>NR-DC has been settled.</w:t>
      </w:r>
    </w:p>
    <w:p w14:paraId="384B0ED1" w14:textId="77777777" w:rsidR="00C63A43" w:rsidRDefault="00C63A43" w:rsidP="00377E8F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</w:p>
    <w:p w14:paraId="6A281139" w14:textId="77777777" w:rsidR="0079791B" w:rsidRPr="00702052" w:rsidRDefault="0079791B" w:rsidP="00377E8F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08C0FC25" w14:textId="0E0BFCFE" w:rsidR="00EA726C" w:rsidRDefault="0079791B" w:rsidP="00377E8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In-sequence_SDU_delivery"/>
      <w:bookmarkEnd w:id="1"/>
      <w:r w:rsidRPr="002818AA">
        <w:rPr>
          <w:rFonts w:asciiTheme="minorHAnsi" w:hAnsiTheme="minorHAnsi" w:cstheme="minorHAnsi"/>
          <w:sz w:val="22"/>
        </w:rPr>
        <w:t xml:space="preserve">This paper </w:t>
      </w:r>
      <w:r w:rsidRPr="009D7F3F">
        <w:rPr>
          <w:rFonts w:asciiTheme="minorHAnsi" w:hAnsiTheme="minorHAnsi" w:cstheme="minorHAnsi"/>
          <w:sz w:val="22"/>
          <w:szCs w:val="22"/>
        </w:rPr>
        <w:t xml:space="preserve">discusses </w:t>
      </w:r>
      <w:r w:rsidR="00823EC8">
        <w:rPr>
          <w:rFonts w:asciiTheme="minorHAnsi" w:hAnsiTheme="minorHAnsi" w:cstheme="minorHAnsi"/>
          <w:sz w:val="22"/>
          <w:szCs w:val="22"/>
        </w:rPr>
        <w:t>the</w:t>
      </w:r>
      <w:r w:rsidR="005B09CB">
        <w:rPr>
          <w:rFonts w:asciiTheme="minorHAnsi" w:hAnsiTheme="minorHAnsi" w:cstheme="minorHAnsi"/>
          <w:sz w:val="22"/>
          <w:szCs w:val="22"/>
        </w:rPr>
        <w:t xml:space="preserve"> support for </w:t>
      </w:r>
      <w:r w:rsidR="007B3D1E">
        <w:rPr>
          <w:rFonts w:asciiTheme="minorHAnsi" w:hAnsiTheme="minorHAnsi" w:cstheme="minorHAnsi"/>
          <w:sz w:val="22"/>
          <w:szCs w:val="22"/>
        </w:rPr>
        <w:t>QoE and RVQoE measurements</w:t>
      </w:r>
      <w:r w:rsidR="00FB5899">
        <w:rPr>
          <w:rFonts w:asciiTheme="minorHAnsi" w:hAnsiTheme="minorHAnsi" w:cstheme="minorHAnsi"/>
          <w:sz w:val="22"/>
          <w:szCs w:val="22"/>
        </w:rPr>
        <w:t xml:space="preserve"> </w:t>
      </w:r>
      <w:r w:rsidR="007B3D1E">
        <w:rPr>
          <w:rFonts w:asciiTheme="minorHAnsi" w:hAnsiTheme="minorHAnsi" w:cstheme="minorHAnsi"/>
          <w:sz w:val="22"/>
          <w:szCs w:val="22"/>
        </w:rPr>
        <w:t>and reporting</w:t>
      </w:r>
      <w:r w:rsidR="005B09CB">
        <w:rPr>
          <w:rFonts w:asciiTheme="minorHAnsi" w:hAnsiTheme="minorHAnsi" w:cstheme="minorHAnsi"/>
          <w:sz w:val="22"/>
          <w:szCs w:val="22"/>
        </w:rPr>
        <w:t xml:space="preserve"> in NR-DC scenarios</w:t>
      </w:r>
      <w:r w:rsidR="00E21C87">
        <w:rPr>
          <w:rFonts w:asciiTheme="minorHAnsi" w:hAnsiTheme="minorHAnsi" w:cstheme="minorHAnsi"/>
          <w:sz w:val="22"/>
          <w:szCs w:val="22"/>
        </w:rPr>
        <w:t>.</w:t>
      </w:r>
      <w:r w:rsidR="007C1C36">
        <w:rPr>
          <w:rFonts w:asciiTheme="minorHAnsi" w:hAnsiTheme="minorHAnsi" w:cstheme="minorHAnsi"/>
          <w:sz w:val="22"/>
          <w:szCs w:val="22"/>
        </w:rPr>
        <w:t xml:space="preserve"> </w:t>
      </w:r>
      <w:r w:rsidR="00B55999">
        <w:rPr>
          <w:rFonts w:asciiTheme="minorHAnsi" w:hAnsiTheme="minorHAnsi" w:cstheme="minorHAnsi"/>
          <w:sz w:val="22"/>
          <w:szCs w:val="22"/>
        </w:rPr>
        <w:t>The</w:t>
      </w:r>
      <w:r w:rsidR="00E21C87">
        <w:rPr>
          <w:rFonts w:asciiTheme="minorHAnsi" w:hAnsiTheme="minorHAnsi" w:cstheme="minorHAnsi"/>
          <w:sz w:val="22"/>
          <w:szCs w:val="22"/>
        </w:rPr>
        <w:t xml:space="preserve"> fol</w:t>
      </w:r>
      <w:r w:rsidR="00E21C87" w:rsidRPr="00144D15">
        <w:rPr>
          <w:rFonts w:asciiTheme="minorHAnsi" w:hAnsiTheme="minorHAnsi" w:cstheme="minorHAnsi"/>
          <w:sz w:val="22"/>
          <w:szCs w:val="22"/>
        </w:rPr>
        <w:t xml:space="preserve">lowing is </w:t>
      </w:r>
      <w:r w:rsidR="005B09CB" w:rsidRPr="00144D15">
        <w:rPr>
          <w:rFonts w:asciiTheme="minorHAnsi" w:hAnsiTheme="minorHAnsi" w:cstheme="minorHAnsi"/>
          <w:sz w:val="22"/>
          <w:szCs w:val="22"/>
        </w:rPr>
        <w:t xml:space="preserve">observed and </w:t>
      </w:r>
      <w:r w:rsidR="00B55999" w:rsidRPr="00144D15">
        <w:rPr>
          <w:rFonts w:asciiTheme="minorHAnsi" w:hAnsiTheme="minorHAnsi" w:cstheme="minorHAnsi"/>
          <w:sz w:val="22"/>
          <w:szCs w:val="22"/>
        </w:rPr>
        <w:t>proposed</w:t>
      </w:r>
      <w:r w:rsidR="00B55999">
        <w:rPr>
          <w:rFonts w:asciiTheme="minorHAnsi" w:hAnsiTheme="minorHAnsi" w:cstheme="minorHAnsi"/>
          <w:sz w:val="22"/>
          <w:szCs w:val="22"/>
        </w:rPr>
        <w:t>:</w:t>
      </w:r>
    </w:p>
    <w:p w14:paraId="046F53E3" w14:textId="77777777" w:rsidR="007B3D1E" w:rsidRDefault="007B3D1E" w:rsidP="00377E8F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 w:rsidRPr="00BA4D46">
        <w:rPr>
          <w:rFonts w:ascii="Calibri" w:hAnsi="Calibri" w:cs="Calibri"/>
          <w:b/>
          <w:sz w:val="22"/>
          <w:szCs w:val="22"/>
        </w:rPr>
        <w:t xml:space="preserve">Proposal 1: </w:t>
      </w:r>
      <w:r>
        <w:rPr>
          <w:rFonts w:ascii="Calibri" w:hAnsi="Calibri" w:cs="Calibri"/>
          <w:b/>
          <w:sz w:val="22"/>
          <w:szCs w:val="22"/>
        </w:rPr>
        <w:t>Support QoE and RVQoE measurement and reporting for UEs in NR-DC scenarios.</w:t>
      </w:r>
    </w:p>
    <w:p w14:paraId="0CA9FDEC" w14:textId="5BA0339F" w:rsidR="007B3D1E" w:rsidRPr="005235BF" w:rsidRDefault="007B3D1E" w:rsidP="00377E8F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 w:rsidRPr="005235BF">
        <w:rPr>
          <w:rFonts w:ascii="Calibri" w:hAnsi="Calibri" w:cs="Calibri"/>
          <w:b/>
          <w:sz w:val="22"/>
          <w:szCs w:val="22"/>
        </w:rPr>
        <w:t xml:space="preserve">Observation 1: The text of the Rel-18 WID implies that QoE and/or RVQoE reporting </w:t>
      </w:r>
      <w:r>
        <w:rPr>
          <w:rFonts w:ascii="Calibri" w:hAnsi="Calibri" w:cs="Calibri"/>
          <w:b/>
          <w:sz w:val="22"/>
          <w:szCs w:val="22"/>
        </w:rPr>
        <w:t xml:space="preserve">can be done </w:t>
      </w:r>
      <w:r w:rsidR="00545817">
        <w:rPr>
          <w:rFonts w:ascii="Calibri" w:hAnsi="Calibri" w:cs="Calibri"/>
          <w:b/>
          <w:sz w:val="22"/>
          <w:szCs w:val="22"/>
        </w:rPr>
        <w:t>to</w:t>
      </w:r>
      <w:r>
        <w:rPr>
          <w:rFonts w:ascii="Calibri" w:hAnsi="Calibri" w:cs="Calibri"/>
          <w:b/>
          <w:sz w:val="22"/>
          <w:szCs w:val="22"/>
        </w:rPr>
        <w:t xml:space="preserve"> both </w:t>
      </w:r>
      <w:r w:rsidR="00545817">
        <w:rPr>
          <w:rFonts w:ascii="Calibri" w:hAnsi="Calibri" w:cs="Calibri"/>
          <w:b/>
          <w:sz w:val="22"/>
          <w:szCs w:val="22"/>
        </w:rPr>
        <w:t xml:space="preserve">the </w:t>
      </w:r>
      <w:r>
        <w:rPr>
          <w:rFonts w:ascii="Calibri" w:hAnsi="Calibri" w:cs="Calibri"/>
          <w:b/>
          <w:sz w:val="22"/>
          <w:szCs w:val="22"/>
        </w:rPr>
        <w:t>MN and</w:t>
      </w:r>
      <w:r w:rsidR="00545817">
        <w:rPr>
          <w:rFonts w:ascii="Calibri" w:hAnsi="Calibri" w:cs="Calibri"/>
          <w:b/>
          <w:sz w:val="22"/>
          <w:szCs w:val="22"/>
        </w:rPr>
        <w:t xml:space="preserve"> the</w:t>
      </w:r>
      <w:r>
        <w:rPr>
          <w:rFonts w:ascii="Calibri" w:hAnsi="Calibri" w:cs="Calibri"/>
          <w:b/>
          <w:sz w:val="22"/>
          <w:szCs w:val="22"/>
        </w:rPr>
        <w:t xml:space="preserve"> SN.</w:t>
      </w:r>
    </w:p>
    <w:p w14:paraId="559075EA" w14:textId="77777777" w:rsidR="007B3D1E" w:rsidRPr="002F3676" w:rsidRDefault="007B3D1E" w:rsidP="00377E8F">
      <w:pPr>
        <w:spacing w:before="120" w:after="0"/>
        <w:jc w:val="left"/>
        <w:rPr>
          <w:rFonts w:asciiTheme="minorHAnsi" w:hAnsiTheme="minorHAnsi"/>
          <w:b/>
          <w:sz w:val="22"/>
          <w:szCs w:val="22"/>
        </w:rPr>
      </w:pPr>
      <w:r w:rsidRPr="002F3676">
        <w:rPr>
          <w:rFonts w:asciiTheme="minorHAnsi" w:hAnsiTheme="minorHAnsi"/>
          <w:b/>
          <w:sz w:val="22"/>
          <w:szCs w:val="22"/>
        </w:rPr>
        <w:t>Proposal 2: SRB4 can be configured as an MCG bearer, an SCG bearer, or a split bearer.</w:t>
      </w:r>
    </w:p>
    <w:p w14:paraId="37CDB920" w14:textId="77777777" w:rsidR="007B3D1E" w:rsidRPr="00290155" w:rsidRDefault="007B3D1E" w:rsidP="00377E8F">
      <w:pPr>
        <w:spacing w:before="120" w:after="0"/>
        <w:jc w:val="left"/>
        <w:rPr>
          <w:rFonts w:asciiTheme="minorHAnsi" w:hAnsiTheme="minorHAnsi"/>
          <w:b/>
          <w:sz w:val="22"/>
          <w:szCs w:val="22"/>
        </w:rPr>
      </w:pPr>
      <w:r w:rsidRPr="00290155">
        <w:rPr>
          <w:rFonts w:asciiTheme="minorHAnsi" w:hAnsiTheme="minorHAnsi"/>
          <w:b/>
          <w:sz w:val="22"/>
          <w:szCs w:val="22"/>
        </w:rPr>
        <w:t xml:space="preserve">Proposal 3: The leg over which the </w:t>
      </w:r>
      <w:r>
        <w:rPr>
          <w:rFonts w:asciiTheme="minorHAnsi" w:hAnsiTheme="minorHAnsi"/>
          <w:b/>
          <w:sz w:val="22"/>
          <w:szCs w:val="22"/>
        </w:rPr>
        <w:t>dual-connected UE sends the</w:t>
      </w:r>
      <w:r w:rsidRPr="00290155">
        <w:rPr>
          <w:rFonts w:asciiTheme="minorHAnsi" w:hAnsiTheme="minorHAnsi"/>
          <w:b/>
          <w:sz w:val="22"/>
          <w:szCs w:val="22"/>
        </w:rPr>
        <w:t xml:space="preserve"> QoE reports and/or RVQoE reports to the network can be changed during the application session</w:t>
      </w:r>
      <w:r>
        <w:rPr>
          <w:rFonts w:asciiTheme="minorHAnsi" w:hAnsiTheme="minorHAnsi"/>
          <w:b/>
          <w:sz w:val="22"/>
          <w:szCs w:val="22"/>
        </w:rPr>
        <w:t>.</w:t>
      </w:r>
    </w:p>
    <w:p w14:paraId="481B1929" w14:textId="77777777" w:rsidR="007B3D1E" w:rsidRPr="006E788F" w:rsidRDefault="007B3D1E" w:rsidP="00377E8F">
      <w:pPr>
        <w:spacing w:before="120" w:after="0"/>
        <w:jc w:val="left"/>
        <w:rPr>
          <w:rFonts w:asciiTheme="minorHAnsi" w:hAnsiTheme="minorHAnsi"/>
          <w:b/>
          <w:sz w:val="22"/>
          <w:szCs w:val="22"/>
        </w:rPr>
      </w:pPr>
      <w:r w:rsidRPr="006E788F">
        <w:rPr>
          <w:rFonts w:asciiTheme="minorHAnsi" w:hAnsiTheme="minorHAnsi"/>
          <w:b/>
          <w:sz w:val="22"/>
          <w:szCs w:val="22"/>
        </w:rPr>
        <w:t>Proposal 4: Both the MN and the SN are allowed to configure the RVQoE measurements for the UE.</w:t>
      </w:r>
    </w:p>
    <w:p w14:paraId="0B9D8D90" w14:textId="77777777" w:rsidR="007B3D1E" w:rsidRPr="00870B74" w:rsidRDefault="007B3D1E" w:rsidP="00377E8F">
      <w:pPr>
        <w:spacing w:before="120" w:after="0"/>
        <w:jc w:val="left"/>
        <w:rPr>
          <w:rFonts w:asciiTheme="minorHAnsi" w:hAnsiTheme="minorHAnsi"/>
          <w:b/>
          <w:sz w:val="22"/>
          <w:szCs w:val="22"/>
        </w:rPr>
      </w:pPr>
      <w:r w:rsidRPr="00870B74">
        <w:rPr>
          <w:rFonts w:asciiTheme="minorHAnsi" w:hAnsiTheme="minorHAnsi"/>
          <w:b/>
          <w:sz w:val="22"/>
          <w:szCs w:val="22"/>
        </w:rPr>
        <w:lastRenderedPageBreak/>
        <w:t xml:space="preserve">Proposal 5: Discuss the support for QoE measurement continuity in mobility scenarios in NR-DC after the basic solution for </w:t>
      </w:r>
      <w:r>
        <w:rPr>
          <w:rFonts w:asciiTheme="minorHAnsi" w:hAnsiTheme="minorHAnsi"/>
          <w:b/>
          <w:sz w:val="22"/>
          <w:szCs w:val="22"/>
        </w:rPr>
        <w:t xml:space="preserve">supporting QoE and RVQoE measurements in </w:t>
      </w:r>
      <w:r w:rsidRPr="00870B74">
        <w:rPr>
          <w:rFonts w:asciiTheme="minorHAnsi" w:hAnsiTheme="minorHAnsi"/>
          <w:b/>
          <w:sz w:val="22"/>
          <w:szCs w:val="22"/>
        </w:rPr>
        <w:t>NR-DC has been settled.</w:t>
      </w:r>
    </w:p>
    <w:p w14:paraId="364C7852" w14:textId="77777777" w:rsidR="007B3D1E" w:rsidRPr="00870B74" w:rsidRDefault="007B3D1E" w:rsidP="00377E8F">
      <w:pPr>
        <w:spacing w:before="120" w:after="0"/>
        <w:jc w:val="left"/>
        <w:rPr>
          <w:rFonts w:asciiTheme="minorHAnsi" w:hAnsiTheme="minorHAnsi"/>
          <w:b/>
          <w:sz w:val="22"/>
          <w:szCs w:val="22"/>
        </w:rPr>
      </w:pPr>
      <w:r w:rsidRPr="00870B74">
        <w:rPr>
          <w:rFonts w:asciiTheme="minorHAnsi" w:hAnsiTheme="minorHAnsi"/>
          <w:b/>
          <w:sz w:val="22"/>
          <w:szCs w:val="22"/>
        </w:rPr>
        <w:t xml:space="preserve">Proposal 6: </w:t>
      </w:r>
      <w:r>
        <w:rPr>
          <w:rFonts w:asciiTheme="minorHAnsi" w:hAnsiTheme="minorHAnsi"/>
          <w:b/>
          <w:sz w:val="22"/>
          <w:szCs w:val="22"/>
        </w:rPr>
        <w:t>Discuss the s</w:t>
      </w:r>
      <w:r w:rsidRPr="00870B74">
        <w:rPr>
          <w:rFonts w:asciiTheme="minorHAnsi" w:hAnsiTheme="minorHAnsi"/>
          <w:b/>
          <w:sz w:val="22"/>
          <w:szCs w:val="22"/>
        </w:rPr>
        <w:t xml:space="preserve">upport </w:t>
      </w:r>
      <w:r>
        <w:rPr>
          <w:rFonts w:asciiTheme="minorHAnsi" w:hAnsiTheme="minorHAnsi"/>
          <w:b/>
          <w:sz w:val="22"/>
          <w:szCs w:val="22"/>
        </w:rPr>
        <w:t xml:space="preserve">for </w:t>
      </w:r>
      <w:r w:rsidRPr="00870B74">
        <w:rPr>
          <w:rFonts w:asciiTheme="minorHAnsi" w:hAnsiTheme="minorHAnsi"/>
          <w:b/>
          <w:sz w:val="22"/>
          <w:szCs w:val="22"/>
        </w:rPr>
        <w:t xml:space="preserve">the alignment of QoE/RVQoE measurements and radio related measurements collected by a UE in NR-DC after the </w:t>
      </w:r>
      <w:r>
        <w:rPr>
          <w:rFonts w:asciiTheme="minorHAnsi" w:hAnsiTheme="minorHAnsi"/>
          <w:b/>
          <w:sz w:val="22"/>
          <w:szCs w:val="22"/>
        </w:rPr>
        <w:t>basic solution</w:t>
      </w:r>
      <w:r w:rsidRPr="00870B74">
        <w:rPr>
          <w:rFonts w:asciiTheme="minorHAnsi" w:hAnsiTheme="minorHAnsi"/>
          <w:b/>
          <w:sz w:val="22"/>
          <w:szCs w:val="22"/>
        </w:rPr>
        <w:t xml:space="preserve"> for </w:t>
      </w:r>
      <w:r>
        <w:rPr>
          <w:rFonts w:asciiTheme="minorHAnsi" w:hAnsiTheme="minorHAnsi"/>
          <w:b/>
          <w:sz w:val="22"/>
          <w:szCs w:val="22"/>
        </w:rPr>
        <w:t xml:space="preserve">supporting QoE and RVQoE measurements in </w:t>
      </w:r>
      <w:r w:rsidRPr="00870B74">
        <w:rPr>
          <w:rFonts w:asciiTheme="minorHAnsi" w:hAnsiTheme="minorHAnsi"/>
          <w:b/>
          <w:sz w:val="22"/>
          <w:szCs w:val="22"/>
        </w:rPr>
        <w:t>NR-DC has been settled.</w:t>
      </w:r>
    </w:p>
    <w:p w14:paraId="0C9B0164" w14:textId="77777777" w:rsidR="00E62D08" w:rsidRPr="00281587" w:rsidRDefault="00E62D08" w:rsidP="00377E8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sectPr w:rsidR="00E62D08" w:rsidRPr="00281587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B896F" w14:textId="77777777" w:rsidR="00564A59" w:rsidRDefault="00564A59">
      <w:pPr>
        <w:spacing w:after="0"/>
      </w:pPr>
      <w:r>
        <w:separator/>
      </w:r>
    </w:p>
  </w:endnote>
  <w:endnote w:type="continuationSeparator" w:id="0">
    <w:p w14:paraId="3E3CEBE4" w14:textId="77777777" w:rsidR="00564A59" w:rsidRDefault="00564A59">
      <w:pPr>
        <w:spacing w:after="0"/>
      </w:pPr>
      <w:r>
        <w:continuationSeparator/>
      </w:r>
    </w:p>
  </w:endnote>
  <w:endnote w:type="continuationNotice" w:id="1">
    <w:p w14:paraId="23CFD5A8" w14:textId="77777777" w:rsidR="00564A59" w:rsidRDefault="00564A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5FF79" w14:textId="77777777" w:rsidR="00564A59" w:rsidRDefault="00564A59">
      <w:pPr>
        <w:spacing w:after="0"/>
      </w:pPr>
      <w:r>
        <w:separator/>
      </w:r>
    </w:p>
  </w:footnote>
  <w:footnote w:type="continuationSeparator" w:id="0">
    <w:p w14:paraId="307B569A" w14:textId="77777777" w:rsidR="00564A59" w:rsidRDefault="00564A59">
      <w:pPr>
        <w:spacing w:after="0"/>
      </w:pPr>
      <w:r>
        <w:continuationSeparator/>
      </w:r>
    </w:p>
  </w:footnote>
  <w:footnote w:type="continuationNotice" w:id="1">
    <w:p w14:paraId="148F9D25" w14:textId="77777777" w:rsidR="00564A59" w:rsidRDefault="00564A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F641AD6"/>
    <w:multiLevelType w:val="hybridMultilevel"/>
    <w:tmpl w:val="72908134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49395363"/>
    <w:multiLevelType w:val="multilevel"/>
    <w:tmpl w:val="AE547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95281"/>
    <w:multiLevelType w:val="hybridMultilevel"/>
    <w:tmpl w:val="AC582A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F3122A"/>
    <w:multiLevelType w:val="hybridMultilevel"/>
    <w:tmpl w:val="FB769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C351AA"/>
    <w:multiLevelType w:val="multilevel"/>
    <w:tmpl w:val="7ACE9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85A59"/>
    <w:multiLevelType w:val="hybridMultilevel"/>
    <w:tmpl w:val="B37E6E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18"/>
  </w:num>
  <w:num w:numId="5">
    <w:abstractNumId w:val="17"/>
  </w:num>
  <w:num w:numId="6">
    <w:abstractNumId w:val="3"/>
  </w:num>
  <w:num w:numId="7">
    <w:abstractNumId w:val="15"/>
  </w:num>
  <w:num w:numId="8">
    <w:abstractNumId w:val="14"/>
  </w:num>
  <w:num w:numId="9">
    <w:abstractNumId w:val="16"/>
  </w:num>
  <w:num w:numId="10">
    <w:abstractNumId w:val="21"/>
  </w:num>
  <w:num w:numId="11">
    <w:abstractNumId w:val="4"/>
  </w:num>
  <w:num w:numId="12">
    <w:abstractNumId w:val="6"/>
  </w:num>
  <w:num w:numId="13">
    <w:abstractNumId w:val="19"/>
  </w:num>
  <w:num w:numId="14">
    <w:abstractNumId w:val="2"/>
  </w:num>
  <w:num w:numId="1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"/>
  </w:num>
  <w:num w:numId="18">
    <w:abstractNumId w:val="5"/>
  </w:num>
  <w:num w:numId="19">
    <w:abstractNumId w:val="20"/>
  </w:num>
  <w:num w:numId="20">
    <w:abstractNumId w:val="10"/>
  </w:num>
  <w:num w:numId="21">
    <w:abstractNumId w:val="7"/>
  </w:num>
  <w:num w:numId="22">
    <w:abstractNumId w:val="1"/>
  </w:num>
  <w:num w:numId="2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191D"/>
    <w:rsid w:val="00002885"/>
    <w:rsid w:val="0000314F"/>
    <w:rsid w:val="00003172"/>
    <w:rsid w:val="00003B4A"/>
    <w:rsid w:val="00003E1E"/>
    <w:rsid w:val="00004D75"/>
    <w:rsid w:val="00005646"/>
    <w:rsid w:val="00005A52"/>
    <w:rsid w:val="0000642F"/>
    <w:rsid w:val="00006583"/>
    <w:rsid w:val="00006C0C"/>
    <w:rsid w:val="000071CD"/>
    <w:rsid w:val="00007B06"/>
    <w:rsid w:val="0001017E"/>
    <w:rsid w:val="00011275"/>
    <w:rsid w:val="00011D26"/>
    <w:rsid w:val="0001271C"/>
    <w:rsid w:val="00012759"/>
    <w:rsid w:val="0001285D"/>
    <w:rsid w:val="00012ED3"/>
    <w:rsid w:val="000134CC"/>
    <w:rsid w:val="000148FF"/>
    <w:rsid w:val="00014D5E"/>
    <w:rsid w:val="00014D9A"/>
    <w:rsid w:val="0001619D"/>
    <w:rsid w:val="000169A7"/>
    <w:rsid w:val="00016E06"/>
    <w:rsid w:val="0001733C"/>
    <w:rsid w:val="00017583"/>
    <w:rsid w:val="00017B3C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CDB"/>
    <w:rsid w:val="00026FFE"/>
    <w:rsid w:val="00027232"/>
    <w:rsid w:val="00030781"/>
    <w:rsid w:val="00031E83"/>
    <w:rsid w:val="000324DC"/>
    <w:rsid w:val="0003387D"/>
    <w:rsid w:val="00033D0C"/>
    <w:rsid w:val="00034106"/>
    <w:rsid w:val="00034965"/>
    <w:rsid w:val="00034F86"/>
    <w:rsid w:val="00035ED7"/>
    <w:rsid w:val="0003661C"/>
    <w:rsid w:val="00036B29"/>
    <w:rsid w:val="0003737E"/>
    <w:rsid w:val="00037DDB"/>
    <w:rsid w:val="00040162"/>
    <w:rsid w:val="00040762"/>
    <w:rsid w:val="0004246C"/>
    <w:rsid w:val="000428A0"/>
    <w:rsid w:val="0004348E"/>
    <w:rsid w:val="00045247"/>
    <w:rsid w:val="00045F71"/>
    <w:rsid w:val="00046FD2"/>
    <w:rsid w:val="000478D4"/>
    <w:rsid w:val="00047CF3"/>
    <w:rsid w:val="00050EC6"/>
    <w:rsid w:val="00051F20"/>
    <w:rsid w:val="00052E18"/>
    <w:rsid w:val="00054095"/>
    <w:rsid w:val="00055580"/>
    <w:rsid w:val="00055797"/>
    <w:rsid w:val="00056312"/>
    <w:rsid w:val="0005654B"/>
    <w:rsid w:val="00057D1D"/>
    <w:rsid w:val="00057EA8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1FC"/>
    <w:rsid w:val="00066ECF"/>
    <w:rsid w:val="00067490"/>
    <w:rsid w:val="000679E8"/>
    <w:rsid w:val="00067FF1"/>
    <w:rsid w:val="0007010A"/>
    <w:rsid w:val="0007113A"/>
    <w:rsid w:val="000714CA"/>
    <w:rsid w:val="000718E7"/>
    <w:rsid w:val="00071C0E"/>
    <w:rsid w:val="00071E60"/>
    <w:rsid w:val="00071F84"/>
    <w:rsid w:val="00072187"/>
    <w:rsid w:val="0007268F"/>
    <w:rsid w:val="00073290"/>
    <w:rsid w:val="00073A55"/>
    <w:rsid w:val="00080B32"/>
    <w:rsid w:val="000810A5"/>
    <w:rsid w:val="00081232"/>
    <w:rsid w:val="0008167C"/>
    <w:rsid w:val="00081AC9"/>
    <w:rsid w:val="00084168"/>
    <w:rsid w:val="00084823"/>
    <w:rsid w:val="00084AA2"/>
    <w:rsid w:val="00085297"/>
    <w:rsid w:val="000872A7"/>
    <w:rsid w:val="00087DC6"/>
    <w:rsid w:val="00090417"/>
    <w:rsid w:val="00090616"/>
    <w:rsid w:val="000909B0"/>
    <w:rsid w:val="00092167"/>
    <w:rsid w:val="0009234A"/>
    <w:rsid w:val="000936E1"/>
    <w:rsid w:val="00093D3B"/>
    <w:rsid w:val="00093FF7"/>
    <w:rsid w:val="00094253"/>
    <w:rsid w:val="00095C9E"/>
    <w:rsid w:val="000966A6"/>
    <w:rsid w:val="000A0319"/>
    <w:rsid w:val="000A0E73"/>
    <w:rsid w:val="000A20E0"/>
    <w:rsid w:val="000A2BED"/>
    <w:rsid w:val="000A3D59"/>
    <w:rsid w:val="000A53E4"/>
    <w:rsid w:val="000A6397"/>
    <w:rsid w:val="000A66E1"/>
    <w:rsid w:val="000A67C4"/>
    <w:rsid w:val="000B01D5"/>
    <w:rsid w:val="000B06F4"/>
    <w:rsid w:val="000B0882"/>
    <w:rsid w:val="000B2C09"/>
    <w:rsid w:val="000B2E9B"/>
    <w:rsid w:val="000B3212"/>
    <w:rsid w:val="000B351E"/>
    <w:rsid w:val="000B4E14"/>
    <w:rsid w:val="000B5914"/>
    <w:rsid w:val="000B6DC0"/>
    <w:rsid w:val="000C10FB"/>
    <w:rsid w:val="000C2171"/>
    <w:rsid w:val="000C29DE"/>
    <w:rsid w:val="000C2DDF"/>
    <w:rsid w:val="000C2FDF"/>
    <w:rsid w:val="000C3A30"/>
    <w:rsid w:val="000C3D00"/>
    <w:rsid w:val="000C3E36"/>
    <w:rsid w:val="000C4A67"/>
    <w:rsid w:val="000C5175"/>
    <w:rsid w:val="000C5239"/>
    <w:rsid w:val="000C6499"/>
    <w:rsid w:val="000C6DDC"/>
    <w:rsid w:val="000C7233"/>
    <w:rsid w:val="000C7419"/>
    <w:rsid w:val="000D06B7"/>
    <w:rsid w:val="000D3D96"/>
    <w:rsid w:val="000D58CE"/>
    <w:rsid w:val="000D5A02"/>
    <w:rsid w:val="000D605C"/>
    <w:rsid w:val="000D6A47"/>
    <w:rsid w:val="000D6D5C"/>
    <w:rsid w:val="000D76FC"/>
    <w:rsid w:val="000D7C5F"/>
    <w:rsid w:val="000E0E97"/>
    <w:rsid w:val="000E16D5"/>
    <w:rsid w:val="000E26E3"/>
    <w:rsid w:val="000E379F"/>
    <w:rsid w:val="000E3FA4"/>
    <w:rsid w:val="000E5C09"/>
    <w:rsid w:val="000E7B30"/>
    <w:rsid w:val="000F0510"/>
    <w:rsid w:val="000F0DA6"/>
    <w:rsid w:val="000F1D60"/>
    <w:rsid w:val="000F2D6E"/>
    <w:rsid w:val="000F3F7A"/>
    <w:rsid w:val="000F44A3"/>
    <w:rsid w:val="000F4A04"/>
    <w:rsid w:val="000F658F"/>
    <w:rsid w:val="000F6A22"/>
    <w:rsid w:val="000F7989"/>
    <w:rsid w:val="000F7B1F"/>
    <w:rsid w:val="000F7EC0"/>
    <w:rsid w:val="001014CF"/>
    <w:rsid w:val="001016B2"/>
    <w:rsid w:val="001024D1"/>
    <w:rsid w:val="00103694"/>
    <w:rsid w:val="0010379B"/>
    <w:rsid w:val="00103D65"/>
    <w:rsid w:val="001042EF"/>
    <w:rsid w:val="00104372"/>
    <w:rsid w:val="001050BE"/>
    <w:rsid w:val="001061DB"/>
    <w:rsid w:val="00107DEF"/>
    <w:rsid w:val="00107FDA"/>
    <w:rsid w:val="00110280"/>
    <w:rsid w:val="00111755"/>
    <w:rsid w:val="001117D4"/>
    <w:rsid w:val="0011189E"/>
    <w:rsid w:val="00111AE3"/>
    <w:rsid w:val="00112431"/>
    <w:rsid w:val="00113718"/>
    <w:rsid w:val="0011465F"/>
    <w:rsid w:val="00114F3B"/>
    <w:rsid w:val="00115C1E"/>
    <w:rsid w:val="00115E2A"/>
    <w:rsid w:val="00116B10"/>
    <w:rsid w:val="001170B1"/>
    <w:rsid w:val="0011797D"/>
    <w:rsid w:val="00120771"/>
    <w:rsid w:val="00120908"/>
    <w:rsid w:val="00120941"/>
    <w:rsid w:val="001209C8"/>
    <w:rsid w:val="00120E76"/>
    <w:rsid w:val="00122011"/>
    <w:rsid w:val="00122CC0"/>
    <w:rsid w:val="001233B5"/>
    <w:rsid w:val="00123405"/>
    <w:rsid w:val="001239E4"/>
    <w:rsid w:val="00123C79"/>
    <w:rsid w:val="001254B5"/>
    <w:rsid w:val="00125A62"/>
    <w:rsid w:val="00126575"/>
    <w:rsid w:val="0013009A"/>
    <w:rsid w:val="00130765"/>
    <w:rsid w:val="00130B2D"/>
    <w:rsid w:val="00130B89"/>
    <w:rsid w:val="00131519"/>
    <w:rsid w:val="00131978"/>
    <w:rsid w:val="001319EE"/>
    <w:rsid w:val="00131F65"/>
    <w:rsid w:val="001321D1"/>
    <w:rsid w:val="001322DB"/>
    <w:rsid w:val="00132C96"/>
    <w:rsid w:val="0013301B"/>
    <w:rsid w:val="00133736"/>
    <w:rsid w:val="001348A8"/>
    <w:rsid w:val="001348BA"/>
    <w:rsid w:val="00134D87"/>
    <w:rsid w:val="001350D7"/>
    <w:rsid w:val="0013616F"/>
    <w:rsid w:val="0013655A"/>
    <w:rsid w:val="001372FC"/>
    <w:rsid w:val="0013787C"/>
    <w:rsid w:val="001378D4"/>
    <w:rsid w:val="00137BF1"/>
    <w:rsid w:val="001409B1"/>
    <w:rsid w:val="00140D91"/>
    <w:rsid w:val="00140E01"/>
    <w:rsid w:val="00141032"/>
    <w:rsid w:val="001416C8"/>
    <w:rsid w:val="00141A2D"/>
    <w:rsid w:val="00141D18"/>
    <w:rsid w:val="001424E4"/>
    <w:rsid w:val="001432DB"/>
    <w:rsid w:val="00143A31"/>
    <w:rsid w:val="00143AE7"/>
    <w:rsid w:val="00144D15"/>
    <w:rsid w:val="0014505E"/>
    <w:rsid w:val="00146757"/>
    <w:rsid w:val="001468AB"/>
    <w:rsid w:val="00146E4C"/>
    <w:rsid w:val="001472D3"/>
    <w:rsid w:val="001514E3"/>
    <w:rsid w:val="001525FD"/>
    <w:rsid w:val="00152B9C"/>
    <w:rsid w:val="001534D4"/>
    <w:rsid w:val="0015364E"/>
    <w:rsid w:val="001543E6"/>
    <w:rsid w:val="001554BA"/>
    <w:rsid w:val="001557E0"/>
    <w:rsid w:val="00155867"/>
    <w:rsid w:val="00156F3B"/>
    <w:rsid w:val="00157F12"/>
    <w:rsid w:val="00160609"/>
    <w:rsid w:val="001609C7"/>
    <w:rsid w:val="00161A5E"/>
    <w:rsid w:val="001622A7"/>
    <w:rsid w:val="00166247"/>
    <w:rsid w:val="00166D01"/>
    <w:rsid w:val="00170052"/>
    <w:rsid w:val="001713B4"/>
    <w:rsid w:val="00171C1A"/>
    <w:rsid w:val="0017292C"/>
    <w:rsid w:val="001742EF"/>
    <w:rsid w:val="00174BE1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90034"/>
    <w:rsid w:val="0019015D"/>
    <w:rsid w:val="00190741"/>
    <w:rsid w:val="00190FF2"/>
    <w:rsid w:val="00191653"/>
    <w:rsid w:val="00191B47"/>
    <w:rsid w:val="00194AA5"/>
    <w:rsid w:val="00195E06"/>
    <w:rsid w:val="00196D2F"/>
    <w:rsid w:val="00196D99"/>
    <w:rsid w:val="001971AB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6F9D"/>
    <w:rsid w:val="001B016A"/>
    <w:rsid w:val="001B1574"/>
    <w:rsid w:val="001B18B9"/>
    <w:rsid w:val="001B1AB0"/>
    <w:rsid w:val="001B3998"/>
    <w:rsid w:val="001B4253"/>
    <w:rsid w:val="001B4C1F"/>
    <w:rsid w:val="001B593C"/>
    <w:rsid w:val="001B5D7B"/>
    <w:rsid w:val="001B6AD7"/>
    <w:rsid w:val="001B6AE1"/>
    <w:rsid w:val="001B6F05"/>
    <w:rsid w:val="001C027F"/>
    <w:rsid w:val="001C0739"/>
    <w:rsid w:val="001C07DE"/>
    <w:rsid w:val="001C1DAC"/>
    <w:rsid w:val="001C1FA0"/>
    <w:rsid w:val="001C3696"/>
    <w:rsid w:val="001C5D5B"/>
    <w:rsid w:val="001C6DAD"/>
    <w:rsid w:val="001C6E8C"/>
    <w:rsid w:val="001C7A80"/>
    <w:rsid w:val="001D02AA"/>
    <w:rsid w:val="001D08AA"/>
    <w:rsid w:val="001D08C7"/>
    <w:rsid w:val="001D1572"/>
    <w:rsid w:val="001D3571"/>
    <w:rsid w:val="001D3FB8"/>
    <w:rsid w:val="001D5F99"/>
    <w:rsid w:val="001D6DB4"/>
    <w:rsid w:val="001D7A88"/>
    <w:rsid w:val="001D7D4F"/>
    <w:rsid w:val="001E0150"/>
    <w:rsid w:val="001E042F"/>
    <w:rsid w:val="001E1B92"/>
    <w:rsid w:val="001E557D"/>
    <w:rsid w:val="001E6352"/>
    <w:rsid w:val="001E6472"/>
    <w:rsid w:val="001E7C28"/>
    <w:rsid w:val="001F00FB"/>
    <w:rsid w:val="001F0B8B"/>
    <w:rsid w:val="001F18EE"/>
    <w:rsid w:val="001F440D"/>
    <w:rsid w:val="001F57FF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DA6"/>
    <w:rsid w:val="00204596"/>
    <w:rsid w:val="00205601"/>
    <w:rsid w:val="0020569A"/>
    <w:rsid w:val="00205A68"/>
    <w:rsid w:val="002068CC"/>
    <w:rsid w:val="00206A6B"/>
    <w:rsid w:val="0021004F"/>
    <w:rsid w:val="00211377"/>
    <w:rsid w:val="00211861"/>
    <w:rsid w:val="00211FD6"/>
    <w:rsid w:val="00212499"/>
    <w:rsid w:val="002141BC"/>
    <w:rsid w:val="0021427C"/>
    <w:rsid w:val="002147E2"/>
    <w:rsid w:val="002148CE"/>
    <w:rsid w:val="00214978"/>
    <w:rsid w:val="0021523C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1E88"/>
    <w:rsid w:val="00233635"/>
    <w:rsid w:val="002339CC"/>
    <w:rsid w:val="00233AC2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40F65"/>
    <w:rsid w:val="00241308"/>
    <w:rsid w:val="00241865"/>
    <w:rsid w:val="00242012"/>
    <w:rsid w:val="002429C8"/>
    <w:rsid w:val="00244791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10FB"/>
    <w:rsid w:val="00251188"/>
    <w:rsid w:val="00251B6A"/>
    <w:rsid w:val="00251C0A"/>
    <w:rsid w:val="002526E3"/>
    <w:rsid w:val="00253687"/>
    <w:rsid w:val="00254AD9"/>
    <w:rsid w:val="0025525C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963"/>
    <w:rsid w:val="00263A36"/>
    <w:rsid w:val="002644AA"/>
    <w:rsid w:val="00264FDC"/>
    <w:rsid w:val="002651CB"/>
    <w:rsid w:val="00265DE4"/>
    <w:rsid w:val="0026694F"/>
    <w:rsid w:val="00267797"/>
    <w:rsid w:val="00267831"/>
    <w:rsid w:val="0027097A"/>
    <w:rsid w:val="00271397"/>
    <w:rsid w:val="002738B3"/>
    <w:rsid w:val="002739E5"/>
    <w:rsid w:val="002748A2"/>
    <w:rsid w:val="002779D4"/>
    <w:rsid w:val="0028145E"/>
    <w:rsid w:val="00281587"/>
    <w:rsid w:val="00281604"/>
    <w:rsid w:val="002818AA"/>
    <w:rsid w:val="00281D68"/>
    <w:rsid w:val="00282DD8"/>
    <w:rsid w:val="00283753"/>
    <w:rsid w:val="002849B3"/>
    <w:rsid w:val="00284ADD"/>
    <w:rsid w:val="0028552D"/>
    <w:rsid w:val="00285E13"/>
    <w:rsid w:val="00286BE9"/>
    <w:rsid w:val="00286EEE"/>
    <w:rsid w:val="0028726B"/>
    <w:rsid w:val="002876AC"/>
    <w:rsid w:val="00287835"/>
    <w:rsid w:val="00290155"/>
    <w:rsid w:val="002903FD"/>
    <w:rsid w:val="0029094D"/>
    <w:rsid w:val="00291D0B"/>
    <w:rsid w:val="002925C5"/>
    <w:rsid w:val="00293868"/>
    <w:rsid w:val="002947EC"/>
    <w:rsid w:val="00295A7E"/>
    <w:rsid w:val="002961A5"/>
    <w:rsid w:val="0029740C"/>
    <w:rsid w:val="002A0B04"/>
    <w:rsid w:val="002A0D12"/>
    <w:rsid w:val="002A1A16"/>
    <w:rsid w:val="002A2259"/>
    <w:rsid w:val="002A26D2"/>
    <w:rsid w:val="002A2F09"/>
    <w:rsid w:val="002A37B5"/>
    <w:rsid w:val="002A4BBF"/>
    <w:rsid w:val="002A5B7E"/>
    <w:rsid w:val="002A5EF1"/>
    <w:rsid w:val="002A65D8"/>
    <w:rsid w:val="002A6BA7"/>
    <w:rsid w:val="002A71E6"/>
    <w:rsid w:val="002B21F8"/>
    <w:rsid w:val="002B231E"/>
    <w:rsid w:val="002B2CB8"/>
    <w:rsid w:val="002B44A1"/>
    <w:rsid w:val="002B4643"/>
    <w:rsid w:val="002B56BA"/>
    <w:rsid w:val="002B5797"/>
    <w:rsid w:val="002B6328"/>
    <w:rsid w:val="002B632E"/>
    <w:rsid w:val="002B634A"/>
    <w:rsid w:val="002C08E6"/>
    <w:rsid w:val="002C1693"/>
    <w:rsid w:val="002C1838"/>
    <w:rsid w:val="002C187A"/>
    <w:rsid w:val="002C230C"/>
    <w:rsid w:val="002C2486"/>
    <w:rsid w:val="002C25F1"/>
    <w:rsid w:val="002C2E4D"/>
    <w:rsid w:val="002C33DE"/>
    <w:rsid w:val="002C42C2"/>
    <w:rsid w:val="002C4BF1"/>
    <w:rsid w:val="002C5AA4"/>
    <w:rsid w:val="002C6F4A"/>
    <w:rsid w:val="002C77FA"/>
    <w:rsid w:val="002D11EB"/>
    <w:rsid w:val="002D273F"/>
    <w:rsid w:val="002D2B6F"/>
    <w:rsid w:val="002D3866"/>
    <w:rsid w:val="002D41DC"/>
    <w:rsid w:val="002D46F2"/>
    <w:rsid w:val="002D4820"/>
    <w:rsid w:val="002D4C0E"/>
    <w:rsid w:val="002D51E9"/>
    <w:rsid w:val="002D5E83"/>
    <w:rsid w:val="002D5F6C"/>
    <w:rsid w:val="002D623B"/>
    <w:rsid w:val="002D6345"/>
    <w:rsid w:val="002D7A94"/>
    <w:rsid w:val="002E0239"/>
    <w:rsid w:val="002E028F"/>
    <w:rsid w:val="002E461A"/>
    <w:rsid w:val="002E4C07"/>
    <w:rsid w:val="002E4DB2"/>
    <w:rsid w:val="002E4FD1"/>
    <w:rsid w:val="002E531F"/>
    <w:rsid w:val="002E5677"/>
    <w:rsid w:val="002E5D37"/>
    <w:rsid w:val="002E6C08"/>
    <w:rsid w:val="002E6C26"/>
    <w:rsid w:val="002E71BB"/>
    <w:rsid w:val="002F1025"/>
    <w:rsid w:val="002F1F7A"/>
    <w:rsid w:val="002F23A6"/>
    <w:rsid w:val="002F27B3"/>
    <w:rsid w:val="002F296B"/>
    <w:rsid w:val="002F306A"/>
    <w:rsid w:val="002F3676"/>
    <w:rsid w:val="002F3D4D"/>
    <w:rsid w:val="002F3FAD"/>
    <w:rsid w:val="002F4529"/>
    <w:rsid w:val="002F4FE2"/>
    <w:rsid w:val="002F5EE2"/>
    <w:rsid w:val="002F6471"/>
    <w:rsid w:val="002F649F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7300"/>
    <w:rsid w:val="003103CF"/>
    <w:rsid w:val="00310E0A"/>
    <w:rsid w:val="00310E22"/>
    <w:rsid w:val="00311757"/>
    <w:rsid w:val="00311D20"/>
    <w:rsid w:val="00311F7C"/>
    <w:rsid w:val="00312554"/>
    <w:rsid w:val="0031257C"/>
    <w:rsid w:val="00312B65"/>
    <w:rsid w:val="00314782"/>
    <w:rsid w:val="00315061"/>
    <w:rsid w:val="003152D9"/>
    <w:rsid w:val="00316803"/>
    <w:rsid w:val="0031780D"/>
    <w:rsid w:val="00317B33"/>
    <w:rsid w:val="003202ED"/>
    <w:rsid w:val="00321013"/>
    <w:rsid w:val="00321493"/>
    <w:rsid w:val="00321940"/>
    <w:rsid w:val="00321FFA"/>
    <w:rsid w:val="0032216C"/>
    <w:rsid w:val="0032258C"/>
    <w:rsid w:val="0032373C"/>
    <w:rsid w:val="00324D2F"/>
    <w:rsid w:val="00326E88"/>
    <w:rsid w:val="003270E4"/>
    <w:rsid w:val="003270EC"/>
    <w:rsid w:val="003304BE"/>
    <w:rsid w:val="0033147E"/>
    <w:rsid w:val="00331CE6"/>
    <w:rsid w:val="00332BFC"/>
    <w:rsid w:val="00332C43"/>
    <w:rsid w:val="00334956"/>
    <w:rsid w:val="003351E4"/>
    <w:rsid w:val="00335EDA"/>
    <w:rsid w:val="00335EE9"/>
    <w:rsid w:val="003361DF"/>
    <w:rsid w:val="00336E0F"/>
    <w:rsid w:val="003373C2"/>
    <w:rsid w:val="0033773F"/>
    <w:rsid w:val="00341CB5"/>
    <w:rsid w:val="003425D3"/>
    <w:rsid w:val="00342ACD"/>
    <w:rsid w:val="00343498"/>
    <w:rsid w:val="00343614"/>
    <w:rsid w:val="00343A26"/>
    <w:rsid w:val="00344576"/>
    <w:rsid w:val="003477AC"/>
    <w:rsid w:val="00347D5B"/>
    <w:rsid w:val="00350E39"/>
    <w:rsid w:val="0035103E"/>
    <w:rsid w:val="00351453"/>
    <w:rsid w:val="00352089"/>
    <w:rsid w:val="00352148"/>
    <w:rsid w:val="003526E1"/>
    <w:rsid w:val="00353C6E"/>
    <w:rsid w:val="00354927"/>
    <w:rsid w:val="003553A2"/>
    <w:rsid w:val="0035731D"/>
    <w:rsid w:val="00360D17"/>
    <w:rsid w:val="003610B1"/>
    <w:rsid w:val="00361938"/>
    <w:rsid w:val="003626DD"/>
    <w:rsid w:val="0036284F"/>
    <w:rsid w:val="00362970"/>
    <w:rsid w:val="003633F3"/>
    <w:rsid w:val="003633FB"/>
    <w:rsid w:val="00363435"/>
    <w:rsid w:val="003648AC"/>
    <w:rsid w:val="00364ED7"/>
    <w:rsid w:val="00367517"/>
    <w:rsid w:val="00370220"/>
    <w:rsid w:val="00370C47"/>
    <w:rsid w:val="00372E59"/>
    <w:rsid w:val="00373669"/>
    <w:rsid w:val="00373892"/>
    <w:rsid w:val="00374100"/>
    <w:rsid w:val="00375AD5"/>
    <w:rsid w:val="00376886"/>
    <w:rsid w:val="00377299"/>
    <w:rsid w:val="003773A8"/>
    <w:rsid w:val="00377D7F"/>
    <w:rsid w:val="00377E8F"/>
    <w:rsid w:val="0038087C"/>
    <w:rsid w:val="00380DFC"/>
    <w:rsid w:val="00382F0D"/>
    <w:rsid w:val="00383631"/>
    <w:rsid w:val="00384836"/>
    <w:rsid w:val="00384A6F"/>
    <w:rsid w:val="003851E2"/>
    <w:rsid w:val="00385455"/>
    <w:rsid w:val="00385D80"/>
    <w:rsid w:val="003865CB"/>
    <w:rsid w:val="003865D7"/>
    <w:rsid w:val="003878BD"/>
    <w:rsid w:val="003901E9"/>
    <w:rsid w:val="00390D51"/>
    <w:rsid w:val="00392140"/>
    <w:rsid w:val="00392192"/>
    <w:rsid w:val="0039271C"/>
    <w:rsid w:val="00393459"/>
    <w:rsid w:val="00393713"/>
    <w:rsid w:val="00395FBF"/>
    <w:rsid w:val="00397284"/>
    <w:rsid w:val="00397571"/>
    <w:rsid w:val="00397835"/>
    <w:rsid w:val="00397B6B"/>
    <w:rsid w:val="003A00D5"/>
    <w:rsid w:val="003A032A"/>
    <w:rsid w:val="003A091A"/>
    <w:rsid w:val="003A1349"/>
    <w:rsid w:val="003A2948"/>
    <w:rsid w:val="003A3C8B"/>
    <w:rsid w:val="003A3E9D"/>
    <w:rsid w:val="003A5E5D"/>
    <w:rsid w:val="003A6335"/>
    <w:rsid w:val="003A6962"/>
    <w:rsid w:val="003A6A3C"/>
    <w:rsid w:val="003A74A4"/>
    <w:rsid w:val="003B03C8"/>
    <w:rsid w:val="003B150E"/>
    <w:rsid w:val="003B1675"/>
    <w:rsid w:val="003B2FED"/>
    <w:rsid w:val="003B4144"/>
    <w:rsid w:val="003B6FD8"/>
    <w:rsid w:val="003B789E"/>
    <w:rsid w:val="003B7CF3"/>
    <w:rsid w:val="003C0A50"/>
    <w:rsid w:val="003C122A"/>
    <w:rsid w:val="003C140E"/>
    <w:rsid w:val="003C1697"/>
    <w:rsid w:val="003C1DF1"/>
    <w:rsid w:val="003C2AEA"/>
    <w:rsid w:val="003C3FBF"/>
    <w:rsid w:val="003C59EE"/>
    <w:rsid w:val="003C5D64"/>
    <w:rsid w:val="003C5EC0"/>
    <w:rsid w:val="003C5FE7"/>
    <w:rsid w:val="003C606C"/>
    <w:rsid w:val="003C60D4"/>
    <w:rsid w:val="003C681C"/>
    <w:rsid w:val="003C6ABD"/>
    <w:rsid w:val="003C7565"/>
    <w:rsid w:val="003C771D"/>
    <w:rsid w:val="003C7735"/>
    <w:rsid w:val="003D0206"/>
    <w:rsid w:val="003D042C"/>
    <w:rsid w:val="003D058F"/>
    <w:rsid w:val="003D0BAA"/>
    <w:rsid w:val="003D14A8"/>
    <w:rsid w:val="003D1DED"/>
    <w:rsid w:val="003D21F9"/>
    <w:rsid w:val="003D25C1"/>
    <w:rsid w:val="003D3A28"/>
    <w:rsid w:val="003D415D"/>
    <w:rsid w:val="003D460E"/>
    <w:rsid w:val="003D4BD0"/>
    <w:rsid w:val="003D4DC0"/>
    <w:rsid w:val="003D5438"/>
    <w:rsid w:val="003D66F6"/>
    <w:rsid w:val="003D6987"/>
    <w:rsid w:val="003D789F"/>
    <w:rsid w:val="003D7FF7"/>
    <w:rsid w:val="003E27A0"/>
    <w:rsid w:val="003E3AA7"/>
    <w:rsid w:val="003E43E7"/>
    <w:rsid w:val="003E5C6D"/>
    <w:rsid w:val="003E664F"/>
    <w:rsid w:val="003E67EB"/>
    <w:rsid w:val="003E6AB3"/>
    <w:rsid w:val="003E79C0"/>
    <w:rsid w:val="003F11D1"/>
    <w:rsid w:val="003F16EB"/>
    <w:rsid w:val="003F2644"/>
    <w:rsid w:val="003F26B9"/>
    <w:rsid w:val="003F2DFF"/>
    <w:rsid w:val="003F32CF"/>
    <w:rsid w:val="003F377B"/>
    <w:rsid w:val="003F56F0"/>
    <w:rsid w:val="003F5A57"/>
    <w:rsid w:val="003F5C28"/>
    <w:rsid w:val="003F5F3C"/>
    <w:rsid w:val="003F7678"/>
    <w:rsid w:val="003F79CF"/>
    <w:rsid w:val="003F7EEC"/>
    <w:rsid w:val="00400444"/>
    <w:rsid w:val="00400AF3"/>
    <w:rsid w:val="00401043"/>
    <w:rsid w:val="0040134A"/>
    <w:rsid w:val="00402D63"/>
    <w:rsid w:val="00402E1F"/>
    <w:rsid w:val="00403463"/>
    <w:rsid w:val="00404348"/>
    <w:rsid w:val="004043C5"/>
    <w:rsid w:val="00405604"/>
    <w:rsid w:val="0040597B"/>
    <w:rsid w:val="00410A55"/>
    <w:rsid w:val="004115D3"/>
    <w:rsid w:val="00411801"/>
    <w:rsid w:val="004120DC"/>
    <w:rsid w:val="00412528"/>
    <w:rsid w:val="00412F78"/>
    <w:rsid w:val="004145A8"/>
    <w:rsid w:val="00415001"/>
    <w:rsid w:val="004153F1"/>
    <w:rsid w:val="0041684F"/>
    <w:rsid w:val="0041753C"/>
    <w:rsid w:val="0041774D"/>
    <w:rsid w:val="00417C08"/>
    <w:rsid w:val="0042249B"/>
    <w:rsid w:val="00422547"/>
    <w:rsid w:val="00422F91"/>
    <w:rsid w:val="00423852"/>
    <w:rsid w:val="00423DBB"/>
    <w:rsid w:val="00423FE9"/>
    <w:rsid w:val="00424726"/>
    <w:rsid w:val="00425668"/>
    <w:rsid w:val="00425C58"/>
    <w:rsid w:val="00425D1F"/>
    <w:rsid w:val="004272DB"/>
    <w:rsid w:val="004274AF"/>
    <w:rsid w:val="004277BC"/>
    <w:rsid w:val="00430279"/>
    <w:rsid w:val="0043048A"/>
    <w:rsid w:val="004309E1"/>
    <w:rsid w:val="00431197"/>
    <w:rsid w:val="004313E3"/>
    <w:rsid w:val="0043165B"/>
    <w:rsid w:val="00432AA3"/>
    <w:rsid w:val="00434026"/>
    <w:rsid w:val="00435019"/>
    <w:rsid w:val="0043522A"/>
    <w:rsid w:val="00435BE3"/>
    <w:rsid w:val="00437F9F"/>
    <w:rsid w:val="00440B2D"/>
    <w:rsid w:val="00440C6F"/>
    <w:rsid w:val="00441D5A"/>
    <w:rsid w:val="00442418"/>
    <w:rsid w:val="0044615D"/>
    <w:rsid w:val="0044732A"/>
    <w:rsid w:val="004475F6"/>
    <w:rsid w:val="004476EB"/>
    <w:rsid w:val="00447C7A"/>
    <w:rsid w:val="004506F5"/>
    <w:rsid w:val="00450A67"/>
    <w:rsid w:val="0045366D"/>
    <w:rsid w:val="0045452C"/>
    <w:rsid w:val="0045455E"/>
    <w:rsid w:val="00454A75"/>
    <w:rsid w:val="0045568C"/>
    <w:rsid w:val="00456461"/>
    <w:rsid w:val="0046149C"/>
    <w:rsid w:val="00462546"/>
    <w:rsid w:val="00462575"/>
    <w:rsid w:val="004639F6"/>
    <w:rsid w:val="00463FA5"/>
    <w:rsid w:val="00465737"/>
    <w:rsid w:val="00465B5D"/>
    <w:rsid w:val="004665E5"/>
    <w:rsid w:val="00466DE8"/>
    <w:rsid w:val="004678D9"/>
    <w:rsid w:val="0047000F"/>
    <w:rsid w:val="004705C5"/>
    <w:rsid w:val="00470E03"/>
    <w:rsid w:val="00471684"/>
    <w:rsid w:val="00472675"/>
    <w:rsid w:val="00474F36"/>
    <w:rsid w:val="00475610"/>
    <w:rsid w:val="004765A8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2030"/>
    <w:rsid w:val="00482974"/>
    <w:rsid w:val="00483110"/>
    <w:rsid w:val="00483254"/>
    <w:rsid w:val="00484802"/>
    <w:rsid w:val="004851B3"/>
    <w:rsid w:val="0048606F"/>
    <w:rsid w:val="00486242"/>
    <w:rsid w:val="004862D5"/>
    <w:rsid w:val="00487028"/>
    <w:rsid w:val="0049129B"/>
    <w:rsid w:val="00491E73"/>
    <w:rsid w:val="00492537"/>
    <w:rsid w:val="00492BED"/>
    <w:rsid w:val="00493E5D"/>
    <w:rsid w:val="00494A3B"/>
    <w:rsid w:val="0049687E"/>
    <w:rsid w:val="00496EC3"/>
    <w:rsid w:val="00497265"/>
    <w:rsid w:val="00497578"/>
    <w:rsid w:val="00497692"/>
    <w:rsid w:val="004A0F99"/>
    <w:rsid w:val="004A15B0"/>
    <w:rsid w:val="004A22DB"/>
    <w:rsid w:val="004A33D4"/>
    <w:rsid w:val="004A39D1"/>
    <w:rsid w:val="004A479F"/>
    <w:rsid w:val="004A4E98"/>
    <w:rsid w:val="004A57E9"/>
    <w:rsid w:val="004A5B2F"/>
    <w:rsid w:val="004A5ED0"/>
    <w:rsid w:val="004A6060"/>
    <w:rsid w:val="004A65E7"/>
    <w:rsid w:val="004A6844"/>
    <w:rsid w:val="004A6EC2"/>
    <w:rsid w:val="004B04E6"/>
    <w:rsid w:val="004B1289"/>
    <w:rsid w:val="004B1FC0"/>
    <w:rsid w:val="004B47C5"/>
    <w:rsid w:val="004B6163"/>
    <w:rsid w:val="004B73DF"/>
    <w:rsid w:val="004B7655"/>
    <w:rsid w:val="004B76DC"/>
    <w:rsid w:val="004B7FC6"/>
    <w:rsid w:val="004C0BE2"/>
    <w:rsid w:val="004C1E6F"/>
    <w:rsid w:val="004C2B12"/>
    <w:rsid w:val="004C3325"/>
    <w:rsid w:val="004C430D"/>
    <w:rsid w:val="004C4658"/>
    <w:rsid w:val="004C51AB"/>
    <w:rsid w:val="004C57A3"/>
    <w:rsid w:val="004C59B9"/>
    <w:rsid w:val="004C5A40"/>
    <w:rsid w:val="004C5B83"/>
    <w:rsid w:val="004D0D5F"/>
    <w:rsid w:val="004D1300"/>
    <w:rsid w:val="004D33DC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39E6"/>
    <w:rsid w:val="004E5919"/>
    <w:rsid w:val="004E5C38"/>
    <w:rsid w:val="004E6709"/>
    <w:rsid w:val="004E6A73"/>
    <w:rsid w:val="004E6BDC"/>
    <w:rsid w:val="004F0373"/>
    <w:rsid w:val="004F04DB"/>
    <w:rsid w:val="004F0867"/>
    <w:rsid w:val="004F2C3F"/>
    <w:rsid w:val="004F4421"/>
    <w:rsid w:val="004F56A6"/>
    <w:rsid w:val="004F5863"/>
    <w:rsid w:val="004F611D"/>
    <w:rsid w:val="004F6366"/>
    <w:rsid w:val="004F6ACE"/>
    <w:rsid w:val="004F6AF9"/>
    <w:rsid w:val="004F7E56"/>
    <w:rsid w:val="005011BA"/>
    <w:rsid w:val="005012AB"/>
    <w:rsid w:val="005018A2"/>
    <w:rsid w:val="00502DCA"/>
    <w:rsid w:val="0050306A"/>
    <w:rsid w:val="005041F1"/>
    <w:rsid w:val="00504467"/>
    <w:rsid w:val="00504FD3"/>
    <w:rsid w:val="005052BC"/>
    <w:rsid w:val="00506371"/>
    <w:rsid w:val="00507983"/>
    <w:rsid w:val="0051094F"/>
    <w:rsid w:val="00510E28"/>
    <w:rsid w:val="00513168"/>
    <w:rsid w:val="005139CE"/>
    <w:rsid w:val="00513B0B"/>
    <w:rsid w:val="00513CF7"/>
    <w:rsid w:val="00513DB5"/>
    <w:rsid w:val="00513E35"/>
    <w:rsid w:val="005143C4"/>
    <w:rsid w:val="00514858"/>
    <w:rsid w:val="00514A20"/>
    <w:rsid w:val="005158E0"/>
    <w:rsid w:val="00516FF2"/>
    <w:rsid w:val="005171C9"/>
    <w:rsid w:val="00522769"/>
    <w:rsid w:val="00522E84"/>
    <w:rsid w:val="005235BF"/>
    <w:rsid w:val="00523979"/>
    <w:rsid w:val="0052477E"/>
    <w:rsid w:val="00525205"/>
    <w:rsid w:val="0052539A"/>
    <w:rsid w:val="005260D4"/>
    <w:rsid w:val="00526969"/>
    <w:rsid w:val="00526ABD"/>
    <w:rsid w:val="0052717F"/>
    <w:rsid w:val="0052734C"/>
    <w:rsid w:val="00530472"/>
    <w:rsid w:val="0053100B"/>
    <w:rsid w:val="00531385"/>
    <w:rsid w:val="0053323E"/>
    <w:rsid w:val="005342B7"/>
    <w:rsid w:val="005344E4"/>
    <w:rsid w:val="005367B2"/>
    <w:rsid w:val="0053737D"/>
    <w:rsid w:val="00537641"/>
    <w:rsid w:val="00537B2D"/>
    <w:rsid w:val="005402B6"/>
    <w:rsid w:val="0054096F"/>
    <w:rsid w:val="005410ED"/>
    <w:rsid w:val="005416E7"/>
    <w:rsid w:val="00541B56"/>
    <w:rsid w:val="005423F1"/>
    <w:rsid w:val="00542936"/>
    <w:rsid w:val="00542D36"/>
    <w:rsid w:val="00542E7B"/>
    <w:rsid w:val="00543786"/>
    <w:rsid w:val="005445AE"/>
    <w:rsid w:val="00545817"/>
    <w:rsid w:val="00546693"/>
    <w:rsid w:val="0054722C"/>
    <w:rsid w:val="00547445"/>
    <w:rsid w:val="00547E84"/>
    <w:rsid w:val="005509D3"/>
    <w:rsid w:val="00550A94"/>
    <w:rsid w:val="00550D6A"/>
    <w:rsid w:val="00551522"/>
    <w:rsid w:val="00551B02"/>
    <w:rsid w:val="005523EB"/>
    <w:rsid w:val="005533AB"/>
    <w:rsid w:val="0055430D"/>
    <w:rsid w:val="00555817"/>
    <w:rsid w:val="00555DD4"/>
    <w:rsid w:val="00556287"/>
    <w:rsid w:val="00557309"/>
    <w:rsid w:val="00557376"/>
    <w:rsid w:val="005603FB"/>
    <w:rsid w:val="005608CB"/>
    <w:rsid w:val="00560CF8"/>
    <w:rsid w:val="00561122"/>
    <w:rsid w:val="0056180D"/>
    <w:rsid w:val="00562178"/>
    <w:rsid w:val="00562398"/>
    <w:rsid w:val="005640DB"/>
    <w:rsid w:val="005642D9"/>
    <w:rsid w:val="00564400"/>
    <w:rsid w:val="00564A59"/>
    <w:rsid w:val="00564C86"/>
    <w:rsid w:val="00565537"/>
    <w:rsid w:val="00565F3C"/>
    <w:rsid w:val="00566669"/>
    <w:rsid w:val="0056677C"/>
    <w:rsid w:val="00566ADD"/>
    <w:rsid w:val="00566EBA"/>
    <w:rsid w:val="00567872"/>
    <w:rsid w:val="00570EF9"/>
    <w:rsid w:val="0057271A"/>
    <w:rsid w:val="00573A34"/>
    <w:rsid w:val="00573A3D"/>
    <w:rsid w:val="00573EA0"/>
    <w:rsid w:val="00574748"/>
    <w:rsid w:val="00574E26"/>
    <w:rsid w:val="005750E2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442B"/>
    <w:rsid w:val="00585F44"/>
    <w:rsid w:val="00586554"/>
    <w:rsid w:val="00586FB0"/>
    <w:rsid w:val="00587C0F"/>
    <w:rsid w:val="00587E79"/>
    <w:rsid w:val="005909ED"/>
    <w:rsid w:val="00590BE5"/>
    <w:rsid w:val="0059161E"/>
    <w:rsid w:val="00591F4E"/>
    <w:rsid w:val="005922CA"/>
    <w:rsid w:val="00592CD3"/>
    <w:rsid w:val="00593F25"/>
    <w:rsid w:val="0059480A"/>
    <w:rsid w:val="00594E9D"/>
    <w:rsid w:val="005953A1"/>
    <w:rsid w:val="00595E01"/>
    <w:rsid w:val="005962C4"/>
    <w:rsid w:val="00596819"/>
    <w:rsid w:val="005968B6"/>
    <w:rsid w:val="00597048"/>
    <w:rsid w:val="005976BB"/>
    <w:rsid w:val="005977E5"/>
    <w:rsid w:val="005A12F8"/>
    <w:rsid w:val="005A1618"/>
    <w:rsid w:val="005A2AFC"/>
    <w:rsid w:val="005A4764"/>
    <w:rsid w:val="005A4FAD"/>
    <w:rsid w:val="005A544E"/>
    <w:rsid w:val="005A5DA1"/>
    <w:rsid w:val="005A662B"/>
    <w:rsid w:val="005A72FE"/>
    <w:rsid w:val="005A7B0D"/>
    <w:rsid w:val="005B09CB"/>
    <w:rsid w:val="005B27F0"/>
    <w:rsid w:val="005B3094"/>
    <w:rsid w:val="005B3A52"/>
    <w:rsid w:val="005B4DFD"/>
    <w:rsid w:val="005B5952"/>
    <w:rsid w:val="005B5BFD"/>
    <w:rsid w:val="005B623B"/>
    <w:rsid w:val="005B6D6F"/>
    <w:rsid w:val="005B730F"/>
    <w:rsid w:val="005B7826"/>
    <w:rsid w:val="005B7E10"/>
    <w:rsid w:val="005C0EB3"/>
    <w:rsid w:val="005C3826"/>
    <w:rsid w:val="005C39D8"/>
    <w:rsid w:val="005C3D1C"/>
    <w:rsid w:val="005C3EEA"/>
    <w:rsid w:val="005C4EDA"/>
    <w:rsid w:val="005C62BF"/>
    <w:rsid w:val="005C7EC0"/>
    <w:rsid w:val="005D1C4B"/>
    <w:rsid w:val="005D2823"/>
    <w:rsid w:val="005D2BC6"/>
    <w:rsid w:val="005D2EE9"/>
    <w:rsid w:val="005D36E1"/>
    <w:rsid w:val="005D37F8"/>
    <w:rsid w:val="005D43FD"/>
    <w:rsid w:val="005D4446"/>
    <w:rsid w:val="005D4779"/>
    <w:rsid w:val="005D6C0E"/>
    <w:rsid w:val="005D6CE7"/>
    <w:rsid w:val="005D7E37"/>
    <w:rsid w:val="005E2A06"/>
    <w:rsid w:val="005E2F70"/>
    <w:rsid w:val="005E3216"/>
    <w:rsid w:val="005E5C5D"/>
    <w:rsid w:val="005E609F"/>
    <w:rsid w:val="005E6539"/>
    <w:rsid w:val="005E70EE"/>
    <w:rsid w:val="005F0728"/>
    <w:rsid w:val="005F0F5A"/>
    <w:rsid w:val="005F1D14"/>
    <w:rsid w:val="005F1D26"/>
    <w:rsid w:val="005F227D"/>
    <w:rsid w:val="005F2D7A"/>
    <w:rsid w:val="005F3496"/>
    <w:rsid w:val="005F3F8F"/>
    <w:rsid w:val="005F4139"/>
    <w:rsid w:val="005F55FF"/>
    <w:rsid w:val="005F5E18"/>
    <w:rsid w:val="005F62EF"/>
    <w:rsid w:val="005F635B"/>
    <w:rsid w:val="005F66BB"/>
    <w:rsid w:val="005F7325"/>
    <w:rsid w:val="005F7B59"/>
    <w:rsid w:val="005F7D35"/>
    <w:rsid w:val="005F7E78"/>
    <w:rsid w:val="006000A6"/>
    <w:rsid w:val="00600631"/>
    <w:rsid w:val="00601CC9"/>
    <w:rsid w:val="00602460"/>
    <w:rsid w:val="006040A1"/>
    <w:rsid w:val="00604738"/>
    <w:rsid w:val="006047A9"/>
    <w:rsid w:val="00604996"/>
    <w:rsid w:val="00604E7F"/>
    <w:rsid w:val="006068E7"/>
    <w:rsid w:val="00606FC0"/>
    <w:rsid w:val="0061097E"/>
    <w:rsid w:val="00610EAF"/>
    <w:rsid w:val="00610F68"/>
    <w:rsid w:val="006110F0"/>
    <w:rsid w:val="00611443"/>
    <w:rsid w:val="006128BD"/>
    <w:rsid w:val="0061316B"/>
    <w:rsid w:val="00613FEF"/>
    <w:rsid w:val="006144E3"/>
    <w:rsid w:val="00614653"/>
    <w:rsid w:val="00614DF2"/>
    <w:rsid w:val="00615337"/>
    <w:rsid w:val="00615731"/>
    <w:rsid w:val="00616E47"/>
    <w:rsid w:val="006177E7"/>
    <w:rsid w:val="00617BC7"/>
    <w:rsid w:val="00620A7E"/>
    <w:rsid w:val="00620BFC"/>
    <w:rsid w:val="00621163"/>
    <w:rsid w:val="00621ACD"/>
    <w:rsid w:val="00621F17"/>
    <w:rsid w:val="00622238"/>
    <w:rsid w:val="006224D4"/>
    <w:rsid w:val="00622B97"/>
    <w:rsid w:val="00625258"/>
    <w:rsid w:val="0062586D"/>
    <w:rsid w:val="00625ADE"/>
    <w:rsid w:val="00625C63"/>
    <w:rsid w:val="00626118"/>
    <w:rsid w:val="0062643F"/>
    <w:rsid w:val="006266ED"/>
    <w:rsid w:val="00626CC0"/>
    <w:rsid w:val="00626CED"/>
    <w:rsid w:val="00627449"/>
    <w:rsid w:val="006275E6"/>
    <w:rsid w:val="006303C2"/>
    <w:rsid w:val="006304C7"/>
    <w:rsid w:val="0063116A"/>
    <w:rsid w:val="00632561"/>
    <w:rsid w:val="0063291F"/>
    <w:rsid w:val="0063305C"/>
    <w:rsid w:val="006356C6"/>
    <w:rsid w:val="00635A1B"/>
    <w:rsid w:val="00636424"/>
    <w:rsid w:val="006364B3"/>
    <w:rsid w:val="00636EEB"/>
    <w:rsid w:val="00642261"/>
    <w:rsid w:val="0064292A"/>
    <w:rsid w:val="006429A0"/>
    <w:rsid w:val="006437C7"/>
    <w:rsid w:val="00643D82"/>
    <w:rsid w:val="00644BD8"/>
    <w:rsid w:val="00644E84"/>
    <w:rsid w:val="006457C0"/>
    <w:rsid w:val="0064627B"/>
    <w:rsid w:val="00646841"/>
    <w:rsid w:val="00647037"/>
    <w:rsid w:val="006509B4"/>
    <w:rsid w:val="00650E60"/>
    <w:rsid w:val="00652628"/>
    <w:rsid w:val="00653CD4"/>
    <w:rsid w:val="00653FF7"/>
    <w:rsid w:val="00654132"/>
    <w:rsid w:val="0065429D"/>
    <w:rsid w:val="00656752"/>
    <w:rsid w:val="00656D79"/>
    <w:rsid w:val="0065710D"/>
    <w:rsid w:val="00657222"/>
    <w:rsid w:val="0066043C"/>
    <w:rsid w:val="00660C7C"/>
    <w:rsid w:val="00660D86"/>
    <w:rsid w:val="006611C4"/>
    <w:rsid w:val="00661482"/>
    <w:rsid w:val="00661DA3"/>
    <w:rsid w:val="00662B5E"/>
    <w:rsid w:val="0066352F"/>
    <w:rsid w:val="0066489B"/>
    <w:rsid w:val="006652BC"/>
    <w:rsid w:val="00666191"/>
    <w:rsid w:val="006674FC"/>
    <w:rsid w:val="00667F44"/>
    <w:rsid w:val="00667F76"/>
    <w:rsid w:val="00670B12"/>
    <w:rsid w:val="0067122D"/>
    <w:rsid w:val="006713CB"/>
    <w:rsid w:val="006715EA"/>
    <w:rsid w:val="00671FF2"/>
    <w:rsid w:val="00672C38"/>
    <w:rsid w:val="006732B9"/>
    <w:rsid w:val="00673DFC"/>
    <w:rsid w:val="00675618"/>
    <w:rsid w:val="00675C02"/>
    <w:rsid w:val="00676996"/>
    <w:rsid w:val="00676CEF"/>
    <w:rsid w:val="00677CEB"/>
    <w:rsid w:val="00681949"/>
    <w:rsid w:val="0068453E"/>
    <w:rsid w:val="00685071"/>
    <w:rsid w:val="006854EF"/>
    <w:rsid w:val="00687E94"/>
    <w:rsid w:val="0069061F"/>
    <w:rsid w:val="006911D1"/>
    <w:rsid w:val="00691931"/>
    <w:rsid w:val="00692006"/>
    <w:rsid w:val="00693699"/>
    <w:rsid w:val="0069438A"/>
    <w:rsid w:val="00694562"/>
    <w:rsid w:val="0069502D"/>
    <w:rsid w:val="006979B1"/>
    <w:rsid w:val="006A06CE"/>
    <w:rsid w:val="006A1AAC"/>
    <w:rsid w:val="006A1E47"/>
    <w:rsid w:val="006A59CE"/>
    <w:rsid w:val="006A5F8D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5745"/>
    <w:rsid w:val="006B59FA"/>
    <w:rsid w:val="006B5D83"/>
    <w:rsid w:val="006B5E8C"/>
    <w:rsid w:val="006B63EE"/>
    <w:rsid w:val="006B6DB5"/>
    <w:rsid w:val="006B7472"/>
    <w:rsid w:val="006B7793"/>
    <w:rsid w:val="006B79E4"/>
    <w:rsid w:val="006C2385"/>
    <w:rsid w:val="006C2608"/>
    <w:rsid w:val="006C3B27"/>
    <w:rsid w:val="006C4385"/>
    <w:rsid w:val="006C4798"/>
    <w:rsid w:val="006C513E"/>
    <w:rsid w:val="006C5AF8"/>
    <w:rsid w:val="006C69C1"/>
    <w:rsid w:val="006C6ED3"/>
    <w:rsid w:val="006C7C28"/>
    <w:rsid w:val="006D013F"/>
    <w:rsid w:val="006D03D8"/>
    <w:rsid w:val="006D0D31"/>
    <w:rsid w:val="006D0ED8"/>
    <w:rsid w:val="006D18E8"/>
    <w:rsid w:val="006D1B06"/>
    <w:rsid w:val="006D1C64"/>
    <w:rsid w:val="006D4082"/>
    <w:rsid w:val="006D40DA"/>
    <w:rsid w:val="006D5281"/>
    <w:rsid w:val="006D5F35"/>
    <w:rsid w:val="006D6235"/>
    <w:rsid w:val="006D6283"/>
    <w:rsid w:val="006D6632"/>
    <w:rsid w:val="006D767F"/>
    <w:rsid w:val="006E0585"/>
    <w:rsid w:val="006E0A9A"/>
    <w:rsid w:val="006E0F0B"/>
    <w:rsid w:val="006E1058"/>
    <w:rsid w:val="006E241F"/>
    <w:rsid w:val="006E25C2"/>
    <w:rsid w:val="006E4369"/>
    <w:rsid w:val="006E4FAA"/>
    <w:rsid w:val="006E5101"/>
    <w:rsid w:val="006E526C"/>
    <w:rsid w:val="006E6763"/>
    <w:rsid w:val="006E6D8C"/>
    <w:rsid w:val="006E788F"/>
    <w:rsid w:val="006F032D"/>
    <w:rsid w:val="006F04CC"/>
    <w:rsid w:val="006F0DFB"/>
    <w:rsid w:val="006F22EF"/>
    <w:rsid w:val="006F3C4E"/>
    <w:rsid w:val="006F4247"/>
    <w:rsid w:val="006F4820"/>
    <w:rsid w:val="006F6F86"/>
    <w:rsid w:val="006F6F9B"/>
    <w:rsid w:val="006F76D4"/>
    <w:rsid w:val="007004A9"/>
    <w:rsid w:val="0070099B"/>
    <w:rsid w:val="00702A2D"/>
    <w:rsid w:val="0070394C"/>
    <w:rsid w:val="00703A9D"/>
    <w:rsid w:val="00703C09"/>
    <w:rsid w:val="00703F82"/>
    <w:rsid w:val="00704942"/>
    <w:rsid w:val="00706D13"/>
    <w:rsid w:val="007074BE"/>
    <w:rsid w:val="00707DB7"/>
    <w:rsid w:val="00707EA8"/>
    <w:rsid w:val="00707FB5"/>
    <w:rsid w:val="0071051B"/>
    <w:rsid w:val="007117BB"/>
    <w:rsid w:val="00711A57"/>
    <w:rsid w:val="00711D93"/>
    <w:rsid w:val="00712786"/>
    <w:rsid w:val="00712A00"/>
    <w:rsid w:val="00712CD8"/>
    <w:rsid w:val="00713312"/>
    <w:rsid w:val="0071387A"/>
    <w:rsid w:val="00714394"/>
    <w:rsid w:val="00714CE2"/>
    <w:rsid w:val="00715265"/>
    <w:rsid w:val="007168A7"/>
    <w:rsid w:val="007169E4"/>
    <w:rsid w:val="00717115"/>
    <w:rsid w:val="00720A3B"/>
    <w:rsid w:val="00720CA1"/>
    <w:rsid w:val="00721766"/>
    <w:rsid w:val="00721E3B"/>
    <w:rsid w:val="0072217B"/>
    <w:rsid w:val="00723177"/>
    <w:rsid w:val="007234FA"/>
    <w:rsid w:val="0072366A"/>
    <w:rsid w:val="007240AB"/>
    <w:rsid w:val="007249F2"/>
    <w:rsid w:val="007252EB"/>
    <w:rsid w:val="00731944"/>
    <w:rsid w:val="00731DD0"/>
    <w:rsid w:val="007328C3"/>
    <w:rsid w:val="007329A5"/>
    <w:rsid w:val="00732B84"/>
    <w:rsid w:val="007345E4"/>
    <w:rsid w:val="00734E3E"/>
    <w:rsid w:val="0073540F"/>
    <w:rsid w:val="007356FD"/>
    <w:rsid w:val="00736890"/>
    <w:rsid w:val="00737C05"/>
    <w:rsid w:val="00740449"/>
    <w:rsid w:val="00740DD1"/>
    <w:rsid w:val="0074176D"/>
    <w:rsid w:val="00741C16"/>
    <w:rsid w:val="00741DF8"/>
    <w:rsid w:val="00741FAB"/>
    <w:rsid w:val="00741FB1"/>
    <w:rsid w:val="00742D85"/>
    <w:rsid w:val="0074307C"/>
    <w:rsid w:val="007450A6"/>
    <w:rsid w:val="00745AFF"/>
    <w:rsid w:val="00746F1A"/>
    <w:rsid w:val="00750385"/>
    <w:rsid w:val="0075045C"/>
    <w:rsid w:val="007509CC"/>
    <w:rsid w:val="00751551"/>
    <w:rsid w:val="00751618"/>
    <w:rsid w:val="00751759"/>
    <w:rsid w:val="00752594"/>
    <w:rsid w:val="00752B53"/>
    <w:rsid w:val="00752DD9"/>
    <w:rsid w:val="00752E6E"/>
    <w:rsid w:val="007538DB"/>
    <w:rsid w:val="00753D4B"/>
    <w:rsid w:val="00755483"/>
    <w:rsid w:val="00755C18"/>
    <w:rsid w:val="00755C5E"/>
    <w:rsid w:val="00755F9F"/>
    <w:rsid w:val="00760B37"/>
    <w:rsid w:val="00760E53"/>
    <w:rsid w:val="00760E6A"/>
    <w:rsid w:val="00761061"/>
    <w:rsid w:val="007614D8"/>
    <w:rsid w:val="00761E35"/>
    <w:rsid w:val="007632C5"/>
    <w:rsid w:val="007644E3"/>
    <w:rsid w:val="0076537D"/>
    <w:rsid w:val="007653EB"/>
    <w:rsid w:val="0076557E"/>
    <w:rsid w:val="00765EC6"/>
    <w:rsid w:val="007663FC"/>
    <w:rsid w:val="00766F9A"/>
    <w:rsid w:val="00767158"/>
    <w:rsid w:val="00767174"/>
    <w:rsid w:val="0076731F"/>
    <w:rsid w:val="00767443"/>
    <w:rsid w:val="0076755B"/>
    <w:rsid w:val="007712BE"/>
    <w:rsid w:val="0077142C"/>
    <w:rsid w:val="00771C59"/>
    <w:rsid w:val="00772316"/>
    <w:rsid w:val="00772339"/>
    <w:rsid w:val="00772CF6"/>
    <w:rsid w:val="00773DAF"/>
    <w:rsid w:val="0077459B"/>
    <w:rsid w:val="00775154"/>
    <w:rsid w:val="00776B94"/>
    <w:rsid w:val="00776DA2"/>
    <w:rsid w:val="0077725A"/>
    <w:rsid w:val="00777685"/>
    <w:rsid w:val="00777883"/>
    <w:rsid w:val="00777AE5"/>
    <w:rsid w:val="00777D19"/>
    <w:rsid w:val="00780BC0"/>
    <w:rsid w:val="00781A28"/>
    <w:rsid w:val="007824A7"/>
    <w:rsid w:val="00783B29"/>
    <w:rsid w:val="0078458C"/>
    <w:rsid w:val="0078496E"/>
    <w:rsid w:val="00785311"/>
    <w:rsid w:val="0078571F"/>
    <w:rsid w:val="00786D36"/>
    <w:rsid w:val="00791D3A"/>
    <w:rsid w:val="00791F18"/>
    <w:rsid w:val="007927C0"/>
    <w:rsid w:val="007934AE"/>
    <w:rsid w:val="007938AB"/>
    <w:rsid w:val="00793EFA"/>
    <w:rsid w:val="007943E9"/>
    <w:rsid w:val="007952EC"/>
    <w:rsid w:val="00795846"/>
    <w:rsid w:val="007958A2"/>
    <w:rsid w:val="00795F3F"/>
    <w:rsid w:val="0079791B"/>
    <w:rsid w:val="00797A84"/>
    <w:rsid w:val="007A0187"/>
    <w:rsid w:val="007A1A35"/>
    <w:rsid w:val="007A248E"/>
    <w:rsid w:val="007A24CC"/>
    <w:rsid w:val="007A3244"/>
    <w:rsid w:val="007A37B4"/>
    <w:rsid w:val="007A3CD6"/>
    <w:rsid w:val="007A4372"/>
    <w:rsid w:val="007A547D"/>
    <w:rsid w:val="007A592D"/>
    <w:rsid w:val="007A6363"/>
    <w:rsid w:val="007A6435"/>
    <w:rsid w:val="007A7A1E"/>
    <w:rsid w:val="007B0102"/>
    <w:rsid w:val="007B1C8C"/>
    <w:rsid w:val="007B2510"/>
    <w:rsid w:val="007B2545"/>
    <w:rsid w:val="007B2769"/>
    <w:rsid w:val="007B3865"/>
    <w:rsid w:val="007B3ADC"/>
    <w:rsid w:val="007B3D1E"/>
    <w:rsid w:val="007B422F"/>
    <w:rsid w:val="007B42CB"/>
    <w:rsid w:val="007B493E"/>
    <w:rsid w:val="007B4AFE"/>
    <w:rsid w:val="007B4E70"/>
    <w:rsid w:val="007B51F2"/>
    <w:rsid w:val="007B53DA"/>
    <w:rsid w:val="007B7CA5"/>
    <w:rsid w:val="007C1C36"/>
    <w:rsid w:val="007C4CB4"/>
    <w:rsid w:val="007C5ACF"/>
    <w:rsid w:val="007C636D"/>
    <w:rsid w:val="007C7A1E"/>
    <w:rsid w:val="007D14F0"/>
    <w:rsid w:val="007D167E"/>
    <w:rsid w:val="007D18D7"/>
    <w:rsid w:val="007D194E"/>
    <w:rsid w:val="007D1A24"/>
    <w:rsid w:val="007D3A20"/>
    <w:rsid w:val="007D4048"/>
    <w:rsid w:val="007D435E"/>
    <w:rsid w:val="007D4C44"/>
    <w:rsid w:val="007D5732"/>
    <w:rsid w:val="007D6003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918"/>
    <w:rsid w:val="007E304D"/>
    <w:rsid w:val="007E565A"/>
    <w:rsid w:val="007E5879"/>
    <w:rsid w:val="007E5A30"/>
    <w:rsid w:val="007E670E"/>
    <w:rsid w:val="007E7050"/>
    <w:rsid w:val="007E7740"/>
    <w:rsid w:val="007E7BCC"/>
    <w:rsid w:val="007F106A"/>
    <w:rsid w:val="007F1608"/>
    <w:rsid w:val="007F21F8"/>
    <w:rsid w:val="007F25AF"/>
    <w:rsid w:val="007F2919"/>
    <w:rsid w:val="007F3F6B"/>
    <w:rsid w:val="007F4903"/>
    <w:rsid w:val="007F52AF"/>
    <w:rsid w:val="007F60F1"/>
    <w:rsid w:val="007F7467"/>
    <w:rsid w:val="00800661"/>
    <w:rsid w:val="008006D2"/>
    <w:rsid w:val="00800EA8"/>
    <w:rsid w:val="00801764"/>
    <w:rsid w:val="008017C1"/>
    <w:rsid w:val="00801C57"/>
    <w:rsid w:val="00801D6A"/>
    <w:rsid w:val="00803422"/>
    <w:rsid w:val="00803F61"/>
    <w:rsid w:val="0080484C"/>
    <w:rsid w:val="00804C96"/>
    <w:rsid w:val="0080554F"/>
    <w:rsid w:val="00805615"/>
    <w:rsid w:val="0080659F"/>
    <w:rsid w:val="00806BA4"/>
    <w:rsid w:val="00806EC2"/>
    <w:rsid w:val="008071D1"/>
    <w:rsid w:val="008072FA"/>
    <w:rsid w:val="0080796C"/>
    <w:rsid w:val="00807C2A"/>
    <w:rsid w:val="00810A22"/>
    <w:rsid w:val="00810ACE"/>
    <w:rsid w:val="0081153D"/>
    <w:rsid w:val="008115BE"/>
    <w:rsid w:val="0081398A"/>
    <w:rsid w:val="008140EC"/>
    <w:rsid w:val="00814E70"/>
    <w:rsid w:val="0081521B"/>
    <w:rsid w:val="00815253"/>
    <w:rsid w:val="0081530A"/>
    <w:rsid w:val="00815D09"/>
    <w:rsid w:val="008165C3"/>
    <w:rsid w:val="00816AE0"/>
    <w:rsid w:val="00816DE3"/>
    <w:rsid w:val="00816FFD"/>
    <w:rsid w:val="00817370"/>
    <w:rsid w:val="008211DE"/>
    <w:rsid w:val="00822D4D"/>
    <w:rsid w:val="00823EC8"/>
    <w:rsid w:val="008246DB"/>
    <w:rsid w:val="00824999"/>
    <w:rsid w:val="00824ECD"/>
    <w:rsid w:val="008253F1"/>
    <w:rsid w:val="008271D9"/>
    <w:rsid w:val="00830109"/>
    <w:rsid w:val="008307FC"/>
    <w:rsid w:val="00831348"/>
    <w:rsid w:val="008320D4"/>
    <w:rsid w:val="00832203"/>
    <w:rsid w:val="00832BCC"/>
    <w:rsid w:val="00833167"/>
    <w:rsid w:val="00833C19"/>
    <w:rsid w:val="00834F6B"/>
    <w:rsid w:val="00836929"/>
    <w:rsid w:val="00836A46"/>
    <w:rsid w:val="00836D31"/>
    <w:rsid w:val="00837CC1"/>
    <w:rsid w:val="008413B4"/>
    <w:rsid w:val="00842C6F"/>
    <w:rsid w:val="00842E7D"/>
    <w:rsid w:val="00842F18"/>
    <w:rsid w:val="00843C35"/>
    <w:rsid w:val="00844E8F"/>
    <w:rsid w:val="00845137"/>
    <w:rsid w:val="00845ED0"/>
    <w:rsid w:val="00846279"/>
    <w:rsid w:val="00846BA2"/>
    <w:rsid w:val="00846FE0"/>
    <w:rsid w:val="008472CD"/>
    <w:rsid w:val="00847AA7"/>
    <w:rsid w:val="008504D0"/>
    <w:rsid w:val="0085167F"/>
    <w:rsid w:val="00851D09"/>
    <w:rsid w:val="00851D8C"/>
    <w:rsid w:val="00851E45"/>
    <w:rsid w:val="00855A9D"/>
    <w:rsid w:val="00856451"/>
    <w:rsid w:val="008576B7"/>
    <w:rsid w:val="0085782C"/>
    <w:rsid w:val="00857FEA"/>
    <w:rsid w:val="00860F89"/>
    <w:rsid w:val="0086150D"/>
    <w:rsid w:val="00861A68"/>
    <w:rsid w:val="00861E9B"/>
    <w:rsid w:val="008620E1"/>
    <w:rsid w:val="0086654A"/>
    <w:rsid w:val="00866FBB"/>
    <w:rsid w:val="0086786B"/>
    <w:rsid w:val="00867ACC"/>
    <w:rsid w:val="00867CCA"/>
    <w:rsid w:val="008704AD"/>
    <w:rsid w:val="00870B74"/>
    <w:rsid w:val="00870E7D"/>
    <w:rsid w:val="008712D4"/>
    <w:rsid w:val="0087292F"/>
    <w:rsid w:val="00873406"/>
    <w:rsid w:val="00873515"/>
    <w:rsid w:val="008738DF"/>
    <w:rsid w:val="00874414"/>
    <w:rsid w:val="00874750"/>
    <w:rsid w:val="00874BE7"/>
    <w:rsid w:val="0087513D"/>
    <w:rsid w:val="00875973"/>
    <w:rsid w:val="008764D5"/>
    <w:rsid w:val="0087683D"/>
    <w:rsid w:val="00877026"/>
    <w:rsid w:val="008777C5"/>
    <w:rsid w:val="00877AC5"/>
    <w:rsid w:val="00880DCB"/>
    <w:rsid w:val="008811E0"/>
    <w:rsid w:val="00881968"/>
    <w:rsid w:val="00881CC4"/>
    <w:rsid w:val="00881CDF"/>
    <w:rsid w:val="00881FF5"/>
    <w:rsid w:val="00884D8E"/>
    <w:rsid w:val="008863B3"/>
    <w:rsid w:val="008872E8"/>
    <w:rsid w:val="0089137D"/>
    <w:rsid w:val="00891654"/>
    <w:rsid w:val="00891761"/>
    <w:rsid w:val="00891769"/>
    <w:rsid w:val="00891B31"/>
    <w:rsid w:val="00892ECC"/>
    <w:rsid w:val="0089365D"/>
    <w:rsid w:val="00893CCC"/>
    <w:rsid w:val="00893D4A"/>
    <w:rsid w:val="00895F01"/>
    <w:rsid w:val="008966DD"/>
    <w:rsid w:val="00896781"/>
    <w:rsid w:val="008968DF"/>
    <w:rsid w:val="00896BA9"/>
    <w:rsid w:val="00897E0E"/>
    <w:rsid w:val="008A0A6E"/>
    <w:rsid w:val="008A212A"/>
    <w:rsid w:val="008A31DC"/>
    <w:rsid w:val="008A3575"/>
    <w:rsid w:val="008A4214"/>
    <w:rsid w:val="008A4BEC"/>
    <w:rsid w:val="008A4C57"/>
    <w:rsid w:val="008A4E32"/>
    <w:rsid w:val="008A52BF"/>
    <w:rsid w:val="008A5C47"/>
    <w:rsid w:val="008A5E6E"/>
    <w:rsid w:val="008A68B0"/>
    <w:rsid w:val="008B0C15"/>
    <w:rsid w:val="008B0E44"/>
    <w:rsid w:val="008B1761"/>
    <w:rsid w:val="008B1DED"/>
    <w:rsid w:val="008B2591"/>
    <w:rsid w:val="008B25F3"/>
    <w:rsid w:val="008B3370"/>
    <w:rsid w:val="008B3D02"/>
    <w:rsid w:val="008B3EF7"/>
    <w:rsid w:val="008B49FC"/>
    <w:rsid w:val="008B4E3F"/>
    <w:rsid w:val="008B7581"/>
    <w:rsid w:val="008C0CC6"/>
    <w:rsid w:val="008C16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C91"/>
    <w:rsid w:val="008D013F"/>
    <w:rsid w:val="008D0EBE"/>
    <w:rsid w:val="008D1027"/>
    <w:rsid w:val="008D12E9"/>
    <w:rsid w:val="008D1D81"/>
    <w:rsid w:val="008D3BB5"/>
    <w:rsid w:val="008D4019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E00A3"/>
    <w:rsid w:val="008E08DE"/>
    <w:rsid w:val="008E0C2D"/>
    <w:rsid w:val="008E1E65"/>
    <w:rsid w:val="008E1F01"/>
    <w:rsid w:val="008E250A"/>
    <w:rsid w:val="008E2DF9"/>
    <w:rsid w:val="008E2E7A"/>
    <w:rsid w:val="008E3225"/>
    <w:rsid w:val="008E3337"/>
    <w:rsid w:val="008E3664"/>
    <w:rsid w:val="008E45C8"/>
    <w:rsid w:val="008E4C0F"/>
    <w:rsid w:val="008E54A2"/>
    <w:rsid w:val="008E62B1"/>
    <w:rsid w:val="008E6717"/>
    <w:rsid w:val="008E756D"/>
    <w:rsid w:val="008E77DE"/>
    <w:rsid w:val="008F08BB"/>
    <w:rsid w:val="008F100B"/>
    <w:rsid w:val="008F16FD"/>
    <w:rsid w:val="008F1B74"/>
    <w:rsid w:val="008F3DD9"/>
    <w:rsid w:val="008F5491"/>
    <w:rsid w:val="008F56AF"/>
    <w:rsid w:val="008F7D44"/>
    <w:rsid w:val="008F7F97"/>
    <w:rsid w:val="00900253"/>
    <w:rsid w:val="00900DB6"/>
    <w:rsid w:val="0090114E"/>
    <w:rsid w:val="00902A82"/>
    <w:rsid w:val="00902AB1"/>
    <w:rsid w:val="00903F33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08DF"/>
    <w:rsid w:val="00911988"/>
    <w:rsid w:val="0091225F"/>
    <w:rsid w:val="0091227F"/>
    <w:rsid w:val="00912474"/>
    <w:rsid w:val="00912BC6"/>
    <w:rsid w:val="00913C03"/>
    <w:rsid w:val="00914C6D"/>
    <w:rsid w:val="00915410"/>
    <w:rsid w:val="00915507"/>
    <w:rsid w:val="0091649F"/>
    <w:rsid w:val="00916F20"/>
    <w:rsid w:val="00917058"/>
    <w:rsid w:val="00920B63"/>
    <w:rsid w:val="00922A31"/>
    <w:rsid w:val="00922ABD"/>
    <w:rsid w:val="00922B71"/>
    <w:rsid w:val="00922B8E"/>
    <w:rsid w:val="00924DB5"/>
    <w:rsid w:val="00926817"/>
    <w:rsid w:val="009271CD"/>
    <w:rsid w:val="009279B1"/>
    <w:rsid w:val="009300C2"/>
    <w:rsid w:val="00931664"/>
    <w:rsid w:val="00931923"/>
    <w:rsid w:val="00931996"/>
    <w:rsid w:val="00931E13"/>
    <w:rsid w:val="009327F3"/>
    <w:rsid w:val="00932815"/>
    <w:rsid w:val="009336BC"/>
    <w:rsid w:val="00933726"/>
    <w:rsid w:val="00933918"/>
    <w:rsid w:val="00935140"/>
    <w:rsid w:val="009356DC"/>
    <w:rsid w:val="00935858"/>
    <w:rsid w:val="00936751"/>
    <w:rsid w:val="00936A55"/>
    <w:rsid w:val="00936DA2"/>
    <w:rsid w:val="00940452"/>
    <w:rsid w:val="00941173"/>
    <w:rsid w:val="00942220"/>
    <w:rsid w:val="0094352D"/>
    <w:rsid w:val="00943D1D"/>
    <w:rsid w:val="0094536B"/>
    <w:rsid w:val="0094597D"/>
    <w:rsid w:val="00945E9B"/>
    <w:rsid w:val="00946B4F"/>
    <w:rsid w:val="009479BC"/>
    <w:rsid w:val="00950582"/>
    <w:rsid w:val="00950756"/>
    <w:rsid w:val="00951D6F"/>
    <w:rsid w:val="00952A20"/>
    <w:rsid w:val="00953407"/>
    <w:rsid w:val="00953D7D"/>
    <w:rsid w:val="00954919"/>
    <w:rsid w:val="00956EF1"/>
    <w:rsid w:val="00957E3A"/>
    <w:rsid w:val="00957EC4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579"/>
    <w:rsid w:val="009726EF"/>
    <w:rsid w:val="00973E7A"/>
    <w:rsid w:val="00973F03"/>
    <w:rsid w:val="00975B15"/>
    <w:rsid w:val="00976AA0"/>
    <w:rsid w:val="00976B21"/>
    <w:rsid w:val="00977292"/>
    <w:rsid w:val="0097744B"/>
    <w:rsid w:val="00977985"/>
    <w:rsid w:val="00977C4A"/>
    <w:rsid w:val="00982EEF"/>
    <w:rsid w:val="00983661"/>
    <w:rsid w:val="00983CBC"/>
    <w:rsid w:val="00983E1F"/>
    <w:rsid w:val="00983EDE"/>
    <w:rsid w:val="00984620"/>
    <w:rsid w:val="00984977"/>
    <w:rsid w:val="00984B0D"/>
    <w:rsid w:val="00985AA0"/>
    <w:rsid w:val="00987D07"/>
    <w:rsid w:val="00987EC0"/>
    <w:rsid w:val="00990170"/>
    <w:rsid w:val="009903AC"/>
    <w:rsid w:val="009907B5"/>
    <w:rsid w:val="0099087B"/>
    <w:rsid w:val="0099182E"/>
    <w:rsid w:val="00991E3C"/>
    <w:rsid w:val="009929A3"/>
    <w:rsid w:val="009942FC"/>
    <w:rsid w:val="00994EF5"/>
    <w:rsid w:val="00995DEA"/>
    <w:rsid w:val="00996035"/>
    <w:rsid w:val="0099632A"/>
    <w:rsid w:val="00996B57"/>
    <w:rsid w:val="00996F2A"/>
    <w:rsid w:val="0099703D"/>
    <w:rsid w:val="009975A2"/>
    <w:rsid w:val="0099767F"/>
    <w:rsid w:val="00997BFB"/>
    <w:rsid w:val="009A0287"/>
    <w:rsid w:val="009A0BDE"/>
    <w:rsid w:val="009A1165"/>
    <w:rsid w:val="009A22C3"/>
    <w:rsid w:val="009A2B01"/>
    <w:rsid w:val="009A3151"/>
    <w:rsid w:val="009A32EC"/>
    <w:rsid w:val="009A4C6A"/>
    <w:rsid w:val="009A51FE"/>
    <w:rsid w:val="009A52E7"/>
    <w:rsid w:val="009A64E4"/>
    <w:rsid w:val="009A6CCB"/>
    <w:rsid w:val="009A7D81"/>
    <w:rsid w:val="009B0F2F"/>
    <w:rsid w:val="009B1495"/>
    <w:rsid w:val="009B2619"/>
    <w:rsid w:val="009B27E3"/>
    <w:rsid w:val="009B57C0"/>
    <w:rsid w:val="009B5C05"/>
    <w:rsid w:val="009B62CB"/>
    <w:rsid w:val="009B783C"/>
    <w:rsid w:val="009C0420"/>
    <w:rsid w:val="009C15D2"/>
    <w:rsid w:val="009C16B1"/>
    <w:rsid w:val="009C1F54"/>
    <w:rsid w:val="009C26B3"/>
    <w:rsid w:val="009C30C7"/>
    <w:rsid w:val="009C3452"/>
    <w:rsid w:val="009C3872"/>
    <w:rsid w:val="009C3B61"/>
    <w:rsid w:val="009C50A6"/>
    <w:rsid w:val="009C52A6"/>
    <w:rsid w:val="009C535E"/>
    <w:rsid w:val="009C55E6"/>
    <w:rsid w:val="009C6A39"/>
    <w:rsid w:val="009C6DD0"/>
    <w:rsid w:val="009C6E1F"/>
    <w:rsid w:val="009D01D7"/>
    <w:rsid w:val="009D1112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9DF"/>
    <w:rsid w:val="009E0CA3"/>
    <w:rsid w:val="009E2449"/>
    <w:rsid w:val="009E2521"/>
    <w:rsid w:val="009E3699"/>
    <w:rsid w:val="009E38B4"/>
    <w:rsid w:val="009E42BA"/>
    <w:rsid w:val="009E43D0"/>
    <w:rsid w:val="009E49DD"/>
    <w:rsid w:val="009E4F21"/>
    <w:rsid w:val="009E5C3F"/>
    <w:rsid w:val="009F06C3"/>
    <w:rsid w:val="009F0D21"/>
    <w:rsid w:val="009F1A53"/>
    <w:rsid w:val="009F1EA9"/>
    <w:rsid w:val="009F2EB1"/>
    <w:rsid w:val="009F3767"/>
    <w:rsid w:val="009F379A"/>
    <w:rsid w:val="009F3997"/>
    <w:rsid w:val="009F3F15"/>
    <w:rsid w:val="009F416B"/>
    <w:rsid w:val="009F4261"/>
    <w:rsid w:val="009F4890"/>
    <w:rsid w:val="009F5A01"/>
    <w:rsid w:val="009F5E77"/>
    <w:rsid w:val="009F5E97"/>
    <w:rsid w:val="009F60DF"/>
    <w:rsid w:val="009F62B9"/>
    <w:rsid w:val="009F6686"/>
    <w:rsid w:val="009F7860"/>
    <w:rsid w:val="00A0066A"/>
    <w:rsid w:val="00A00BC0"/>
    <w:rsid w:val="00A0227D"/>
    <w:rsid w:val="00A025D4"/>
    <w:rsid w:val="00A02EEE"/>
    <w:rsid w:val="00A04021"/>
    <w:rsid w:val="00A051BB"/>
    <w:rsid w:val="00A058FD"/>
    <w:rsid w:val="00A05D88"/>
    <w:rsid w:val="00A05FCD"/>
    <w:rsid w:val="00A06432"/>
    <w:rsid w:val="00A06BAB"/>
    <w:rsid w:val="00A07088"/>
    <w:rsid w:val="00A07E07"/>
    <w:rsid w:val="00A106B7"/>
    <w:rsid w:val="00A124FC"/>
    <w:rsid w:val="00A13A4E"/>
    <w:rsid w:val="00A1411C"/>
    <w:rsid w:val="00A14187"/>
    <w:rsid w:val="00A14342"/>
    <w:rsid w:val="00A1503F"/>
    <w:rsid w:val="00A155CF"/>
    <w:rsid w:val="00A1567A"/>
    <w:rsid w:val="00A15860"/>
    <w:rsid w:val="00A163B7"/>
    <w:rsid w:val="00A1653C"/>
    <w:rsid w:val="00A16577"/>
    <w:rsid w:val="00A169A2"/>
    <w:rsid w:val="00A172EC"/>
    <w:rsid w:val="00A17AB5"/>
    <w:rsid w:val="00A20A0A"/>
    <w:rsid w:val="00A20EB3"/>
    <w:rsid w:val="00A21EC1"/>
    <w:rsid w:val="00A23124"/>
    <w:rsid w:val="00A23501"/>
    <w:rsid w:val="00A2378A"/>
    <w:rsid w:val="00A23DA8"/>
    <w:rsid w:val="00A246CC"/>
    <w:rsid w:val="00A250A0"/>
    <w:rsid w:val="00A26966"/>
    <w:rsid w:val="00A3060E"/>
    <w:rsid w:val="00A30802"/>
    <w:rsid w:val="00A3083D"/>
    <w:rsid w:val="00A30D6A"/>
    <w:rsid w:val="00A30E7E"/>
    <w:rsid w:val="00A31508"/>
    <w:rsid w:val="00A317A4"/>
    <w:rsid w:val="00A321CF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CB2"/>
    <w:rsid w:val="00A40ACD"/>
    <w:rsid w:val="00A40B26"/>
    <w:rsid w:val="00A40EC0"/>
    <w:rsid w:val="00A40F2C"/>
    <w:rsid w:val="00A41DFA"/>
    <w:rsid w:val="00A4245B"/>
    <w:rsid w:val="00A43F13"/>
    <w:rsid w:val="00A44120"/>
    <w:rsid w:val="00A45885"/>
    <w:rsid w:val="00A45FBA"/>
    <w:rsid w:val="00A47668"/>
    <w:rsid w:val="00A47E86"/>
    <w:rsid w:val="00A51826"/>
    <w:rsid w:val="00A5207F"/>
    <w:rsid w:val="00A523F9"/>
    <w:rsid w:val="00A53455"/>
    <w:rsid w:val="00A53B97"/>
    <w:rsid w:val="00A54C84"/>
    <w:rsid w:val="00A55546"/>
    <w:rsid w:val="00A556AC"/>
    <w:rsid w:val="00A561FB"/>
    <w:rsid w:val="00A56F23"/>
    <w:rsid w:val="00A571A1"/>
    <w:rsid w:val="00A57B91"/>
    <w:rsid w:val="00A619AC"/>
    <w:rsid w:val="00A6206E"/>
    <w:rsid w:val="00A62D5A"/>
    <w:rsid w:val="00A63C6D"/>
    <w:rsid w:val="00A643D7"/>
    <w:rsid w:val="00A64AD7"/>
    <w:rsid w:val="00A657A6"/>
    <w:rsid w:val="00A65F26"/>
    <w:rsid w:val="00A66007"/>
    <w:rsid w:val="00A668F3"/>
    <w:rsid w:val="00A669EF"/>
    <w:rsid w:val="00A67FC2"/>
    <w:rsid w:val="00A70774"/>
    <w:rsid w:val="00A707EE"/>
    <w:rsid w:val="00A70FE4"/>
    <w:rsid w:val="00A71708"/>
    <w:rsid w:val="00A71C80"/>
    <w:rsid w:val="00A71EB3"/>
    <w:rsid w:val="00A739A7"/>
    <w:rsid w:val="00A744D3"/>
    <w:rsid w:val="00A755AF"/>
    <w:rsid w:val="00A75623"/>
    <w:rsid w:val="00A75EC8"/>
    <w:rsid w:val="00A7635D"/>
    <w:rsid w:val="00A769DF"/>
    <w:rsid w:val="00A77030"/>
    <w:rsid w:val="00A77AFC"/>
    <w:rsid w:val="00A805B1"/>
    <w:rsid w:val="00A81306"/>
    <w:rsid w:val="00A82A18"/>
    <w:rsid w:val="00A83B94"/>
    <w:rsid w:val="00A83F2F"/>
    <w:rsid w:val="00A84739"/>
    <w:rsid w:val="00A84DFD"/>
    <w:rsid w:val="00A86569"/>
    <w:rsid w:val="00A86650"/>
    <w:rsid w:val="00A867D0"/>
    <w:rsid w:val="00A87D38"/>
    <w:rsid w:val="00A90714"/>
    <w:rsid w:val="00A91991"/>
    <w:rsid w:val="00A92273"/>
    <w:rsid w:val="00A92AF1"/>
    <w:rsid w:val="00A92FB5"/>
    <w:rsid w:val="00A9318B"/>
    <w:rsid w:val="00A93215"/>
    <w:rsid w:val="00A93228"/>
    <w:rsid w:val="00A96572"/>
    <w:rsid w:val="00A97719"/>
    <w:rsid w:val="00AA0152"/>
    <w:rsid w:val="00AA0B0E"/>
    <w:rsid w:val="00AA11A5"/>
    <w:rsid w:val="00AA13E3"/>
    <w:rsid w:val="00AA3AB6"/>
    <w:rsid w:val="00AA3FD2"/>
    <w:rsid w:val="00AA4150"/>
    <w:rsid w:val="00AA41CB"/>
    <w:rsid w:val="00AA47CD"/>
    <w:rsid w:val="00AA62EE"/>
    <w:rsid w:val="00AA68C3"/>
    <w:rsid w:val="00AB0801"/>
    <w:rsid w:val="00AB0D37"/>
    <w:rsid w:val="00AB13C5"/>
    <w:rsid w:val="00AB15D1"/>
    <w:rsid w:val="00AB15D5"/>
    <w:rsid w:val="00AB1947"/>
    <w:rsid w:val="00AB1AE4"/>
    <w:rsid w:val="00AB1EEF"/>
    <w:rsid w:val="00AB2D6D"/>
    <w:rsid w:val="00AB3196"/>
    <w:rsid w:val="00AB3E05"/>
    <w:rsid w:val="00AB5865"/>
    <w:rsid w:val="00AB5A6F"/>
    <w:rsid w:val="00AB660A"/>
    <w:rsid w:val="00AB6A0E"/>
    <w:rsid w:val="00AC0B80"/>
    <w:rsid w:val="00AC16F0"/>
    <w:rsid w:val="00AC25E0"/>
    <w:rsid w:val="00AC4001"/>
    <w:rsid w:val="00AC5239"/>
    <w:rsid w:val="00AC5D6C"/>
    <w:rsid w:val="00AC6691"/>
    <w:rsid w:val="00AC7C10"/>
    <w:rsid w:val="00AC7FED"/>
    <w:rsid w:val="00AD05AC"/>
    <w:rsid w:val="00AD1127"/>
    <w:rsid w:val="00AD16D7"/>
    <w:rsid w:val="00AD40CE"/>
    <w:rsid w:val="00AD5988"/>
    <w:rsid w:val="00AD5E74"/>
    <w:rsid w:val="00AD6E8C"/>
    <w:rsid w:val="00AD7922"/>
    <w:rsid w:val="00AD798D"/>
    <w:rsid w:val="00AE0844"/>
    <w:rsid w:val="00AE1A4F"/>
    <w:rsid w:val="00AE1F22"/>
    <w:rsid w:val="00AE248B"/>
    <w:rsid w:val="00AE4016"/>
    <w:rsid w:val="00AE4823"/>
    <w:rsid w:val="00AE64D5"/>
    <w:rsid w:val="00AF281A"/>
    <w:rsid w:val="00AF3DFD"/>
    <w:rsid w:val="00AF40BF"/>
    <w:rsid w:val="00AF4C6E"/>
    <w:rsid w:val="00AF4CAA"/>
    <w:rsid w:val="00AF5EB9"/>
    <w:rsid w:val="00B02147"/>
    <w:rsid w:val="00B0284A"/>
    <w:rsid w:val="00B03AD3"/>
    <w:rsid w:val="00B06473"/>
    <w:rsid w:val="00B07B08"/>
    <w:rsid w:val="00B1147B"/>
    <w:rsid w:val="00B11D8D"/>
    <w:rsid w:val="00B12E47"/>
    <w:rsid w:val="00B1346F"/>
    <w:rsid w:val="00B13593"/>
    <w:rsid w:val="00B135C6"/>
    <w:rsid w:val="00B13914"/>
    <w:rsid w:val="00B13AA8"/>
    <w:rsid w:val="00B14DEF"/>
    <w:rsid w:val="00B16ACC"/>
    <w:rsid w:val="00B1704F"/>
    <w:rsid w:val="00B20C31"/>
    <w:rsid w:val="00B22108"/>
    <w:rsid w:val="00B22C17"/>
    <w:rsid w:val="00B24E20"/>
    <w:rsid w:val="00B251AD"/>
    <w:rsid w:val="00B26015"/>
    <w:rsid w:val="00B26707"/>
    <w:rsid w:val="00B2731B"/>
    <w:rsid w:val="00B273E9"/>
    <w:rsid w:val="00B27645"/>
    <w:rsid w:val="00B27A97"/>
    <w:rsid w:val="00B27C7A"/>
    <w:rsid w:val="00B3078B"/>
    <w:rsid w:val="00B31119"/>
    <w:rsid w:val="00B315B0"/>
    <w:rsid w:val="00B31B4D"/>
    <w:rsid w:val="00B31BF1"/>
    <w:rsid w:val="00B329FD"/>
    <w:rsid w:val="00B336BC"/>
    <w:rsid w:val="00B34657"/>
    <w:rsid w:val="00B34B34"/>
    <w:rsid w:val="00B37099"/>
    <w:rsid w:val="00B3728A"/>
    <w:rsid w:val="00B37818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C62"/>
    <w:rsid w:val="00B461F3"/>
    <w:rsid w:val="00B508EC"/>
    <w:rsid w:val="00B5126C"/>
    <w:rsid w:val="00B52025"/>
    <w:rsid w:val="00B52371"/>
    <w:rsid w:val="00B525C7"/>
    <w:rsid w:val="00B52A24"/>
    <w:rsid w:val="00B52BFC"/>
    <w:rsid w:val="00B52E27"/>
    <w:rsid w:val="00B5365E"/>
    <w:rsid w:val="00B53AB1"/>
    <w:rsid w:val="00B53DEF"/>
    <w:rsid w:val="00B54793"/>
    <w:rsid w:val="00B547BB"/>
    <w:rsid w:val="00B5484C"/>
    <w:rsid w:val="00B550D5"/>
    <w:rsid w:val="00B55999"/>
    <w:rsid w:val="00B560A9"/>
    <w:rsid w:val="00B5633C"/>
    <w:rsid w:val="00B56E35"/>
    <w:rsid w:val="00B60127"/>
    <w:rsid w:val="00B611D3"/>
    <w:rsid w:val="00B61701"/>
    <w:rsid w:val="00B62CCF"/>
    <w:rsid w:val="00B6352C"/>
    <w:rsid w:val="00B6384C"/>
    <w:rsid w:val="00B6392D"/>
    <w:rsid w:val="00B63D2E"/>
    <w:rsid w:val="00B63F69"/>
    <w:rsid w:val="00B63FF7"/>
    <w:rsid w:val="00B6446F"/>
    <w:rsid w:val="00B6557B"/>
    <w:rsid w:val="00B66175"/>
    <w:rsid w:val="00B66F2B"/>
    <w:rsid w:val="00B67DE6"/>
    <w:rsid w:val="00B7043F"/>
    <w:rsid w:val="00B7074C"/>
    <w:rsid w:val="00B7097E"/>
    <w:rsid w:val="00B71ED1"/>
    <w:rsid w:val="00B7273F"/>
    <w:rsid w:val="00B73332"/>
    <w:rsid w:val="00B73427"/>
    <w:rsid w:val="00B7388C"/>
    <w:rsid w:val="00B73D79"/>
    <w:rsid w:val="00B74995"/>
    <w:rsid w:val="00B74A00"/>
    <w:rsid w:val="00B74BAB"/>
    <w:rsid w:val="00B772CF"/>
    <w:rsid w:val="00B775C7"/>
    <w:rsid w:val="00B803D7"/>
    <w:rsid w:val="00B805F3"/>
    <w:rsid w:val="00B80624"/>
    <w:rsid w:val="00B824D7"/>
    <w:rsid w:val="00B829F5"/>
    <w:rsid w:val="00B831CB"/>
    <w:rsid w:val="00B83A84"/>
    <w:rsid w:val="00B84EC3"/>
    <w:rsid w:val="00B856A9"/>
    <w:rsid w:val="00B872EF"/>
    <w:rsid w:val="00B9128B"/>
    <w:rsid w:val="00B9175D"/>
    <w:rsid w:val="00B9254A"/>
    <w:rsid w:val="00B9257D"/>
    <w:rsid w:val="00B93093"/>
    <w:rsid w:val="00B9333F"/>
    <w:rsid w:val="00B93E36"/>
    <w:rsid w:val="00B94CFB"/>
    <w:rsid w:val="00B95170"/>
    <w:rsid w:val="00B9529A"/>
    <w:rsid w:val="00B955B2"/>
    <w:rsid w:val="00B9571D"/>
    <w:rsid w:val="00B95A33"/>
    <w:rsid w:val="00B95DF1"/>
    <w:rsid w:val="00BA1E3C"/>
    <w:rsid w:val="00BA2BA3"/>
    <w:rsid w:val="00BA3B79"/>
    <w:rsid w:val="00BA3DF8"/>
    <w:rsid w:val="00BA3F6A"/>
    <w:rsid w:val="00BA45FA"/>
    <w:rsid w:val="00BA4D46"/>
    <w:rsid w:val="00BA6FBC"/>
    <w:rsid w:val="00BA77CE"/>
    <w:rsid w:val="00BB0EF8"/>
    <w:rsid w:val="00BB1556"/>
    <w:rsid w:val="00BB1F89"/>
    <w:rsid w:val="00BB2B99"/>
    <w:rsid w:val="00BB2BEC"/>
    <w:rsid w:val="00BB2E13"/>
    <w:rsid w:val="00BB3C82"/>
    <w:rsid w:val="00BB42C4"/>
    <w:rsid w:val="00BB5230"/>
    <w:rsid w:val="00BB5355"/>
    <w:rsid w:val="00BB5764"/>
    <w:rsid w:val="00BB644C"/>
    <w:rsid w:val="00BB6493"/>
    <w:rsid w:val="00BB6738"/>
    <w:rsid w:val="00BB7A79"/>
    <w:rsid w:val="00BC004F"/>
    <w:rsid w:val="00BC00AA"/>
    <w:rsid w:val="00BC017A"/>
    <w:rsid w:val="00BC1B5D"/>
    <w:rsid w:val="00BC2781"/>
    <w:rsid w:val="00BC279D"/>
    <w:rsid w:val="00BC2FFD"/>
    <w:rsid w:val="00BC42D9"/>
    <w:rsid w:val="00BC527D"/>
    <w:rsid w:val="00BC5B93"/>
    <w:rsid w:val="00BC644F"/>
    <w:rsid w:val="00BC67EC"/>
    <w:rsid w:val="00BC6AAA"/>
    <w:rsid w:val="00BC7266"/>
    <w:rsid w:val="00BC74FD"/>
    <w:rsid w:val="00BC7507"/>
    <w:rsid w:val="00BD5ADF"/>
    <w:rsid w:val="00BD5B53"/>
    <w:rsid w:val="00BD66EE"/>
    <w:rsid w:val="00BD6DA7"/>
    <w:rsid w:val="00BD6FDF"/>
    <w:rsid w:val="00BD7978"/>
    <w:rsid w:val="00BE0399"/>
    <w:rsid w:val="00BE0C5D"/>
    <w:rsid w:val="00BE2115"/>
    <w:rsid w:val="00BE29D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87E"/>
    <w:rsid w:val="00BF4E9D"/>
    <w:rsid w:val="00BF52B4"/>
    <w:rsid w:val="00BF664E"/>
    <w:rsid w:val="00BF6652"/>
    <w:rsid w:val="00BF732C"/>
    <w:rsid w:val="00BF7BAE"/>
    <w:rsid w:val="00BF7F90"/>
    <w:rsid w:val="00C008E3"/>
    <w:rsid w:val="00C01AF8"/>
    <w:rsid w:val="00C03B08"/>
    <w:rsid w:val="00C04344"/>
    <w:rsid w:val="00C0480A"/>
    <w:rsid w:val="00C04FCC"/>
    <w:rsid w:val="00C062D4"/>
    <w:rsid w:val="00C06827"/>
    <w:rsid w:val="00C06F26"/>
    <w:rsid w:val="00C07804"/>
    <w:rsid w:val="00C10D8F"/>
    <w:rsid w:val="00C11AE5"/>
    <w:rsid w:val="00C11B2B"/>
    <w:rsid w:val="00C11DBA"/>
    <w:rsid w:val="00C11E4C"/>
    <w:rsid w:val="00C124F1"/>
    <w:rsid w:val="00C1273F"/>
    <w:rsid w:val="00C12C3D"/>
    <w:rsid w:val="00C13130"/>
    <w:rsid w:val="00C13B17"/>
    <w:rsid w:val="00C149EC"/>
    <w:rsid w:val="00C14A6A"/>
    <w:rsid w:val="00C14F5B"/>
    <w:rsid w:val="00C15E29"/>
    <w:rsid w:val="00C15FD7"/>
    <w:rsid w:val="00C1616D"/>
    <w:rsid w:val="00C163BD"/>
    <w:rsid w:val="00C17436"/>
    <w:rsid w:val="00C1754C"/>
    <w:rsid w:val="00C177D7"/>
    <w:rsid w:val="00C21D7F"/>
    <w:rsid w:val="00C225A6"/>
    <w:rsid w:val="00C22B0B"/>
    <w:rsid w:val="00C23746"/>
    <w:rsid w:val="00C23C22"/>
    <w:rsid w:val="00C240EE"/>
    <w:rsid w:val="00C24328"/>
    <w:rsid w:val="00C24D60"/>
    <w:rsid w:val="00C24DCA"/>
    <w:rsid w:val="00C265E0"/>
    <w:rsid w:val="00C26AA8"/>
    <w:rsid w:val="00C26C49"/>
    <w:rsid w:val="00C277E4"/>
    <w:rsid w:val="00C3011E"/>
    <w:rsid w:val="00C3034C"/>
    <w:rsid w:val="00C30C8B"/>
    <w:rsid w:val="00C31184"/>
    <w:rsid w:val="00C33626"/>
    <w:rsid w:val="00C340C5"/>
    <w:rsid w:val="00C340D7"/>
    <w:rsid w:val="00C34402"/>
    <w:rsid w:val="00C3457F"/>
    <w:rsid w:val="00C348D0"/>
    <w:rsid w:val="00C35B16"/>
    <w:rsid w:val="00C36441"/>
    <w:rsid w:val="00C36DCB"/>
    <w:rsid w:val="00C37815"/>
    <w:rsid w:val="00C37AF3"/>
    <w:rsid w:val="00C40398"/>
    <w:rsid w:val="00C405F8"/>
    <w:rsid w:val="00C4204A"/>
    <w:rsid w:val="00C425B3"/>
    <w:rsid w:val="00C4439A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86"/>
    <w:rsid w:val="00C500A4"/>
    <w:rsid w:val="00C50DAE"/>
    <w:rsid w:val="00C51B74"/>
    <w:rsid w:val="00C52A20"/>
    <w:rsid w:val="00C5304E"/>
    <w:rsid w:val="00C54142"/>
    <w:rsid w:val="00C54EB9"/>
    <w:rsid w:val="00C56217"/>
    <w:rsid w:val="00C572D7"/>
    <w:rsid w:val="00C60064"/>
    <w:rsid w:val="00C60511"/>
    <w:rsid w:val="00C60618"/>
    <w:rsid w:val="00C6077E"/>
    <w:rsid w:val="00C61967"/>
    <w:rsid w:val="00C61A85"/>
    <w:rsid w:val="00C62197"/>
    <w:rsid w:val="00C62B90"/>
    <w:rsid w:val="00C6399C"/>
    <w:rsid w:val="00C63A43"/>
    <w:rsid w:val="00C63E84"/>
    <w:rsid w:val="00C64615"/>
    <w:rsid w:val="00C64931"/>
    <w:rsid w:val="00C6495F"/>
    <w:rsid w:val="00C6511F"/>
    <w:rsid w:val="00C65196"/>
    <w:rsid w:val="00C65B1F"/>
    <w:rsid w:val="00C65EAB"/>
    <w:rsid w:val="00C660EB"/>
    <w:rsid w:val="00C67612"/>
    <w:rsid w:val="00C67B65"/>
    <w:rsid w:val="00C700A1"/>
    <w:rsid w:val="00C70DD2"/>
    <w:rsid w:val="00C710EE"/>
    <w:rsid w:val="00C73697"/>
    <w:rsid w:val="00C739A3"/>
    <w:rsid w:val="00C73F75"/>
    <w:rsid w:val="00C74990"/>
    <w:rsid w:val="00C74998"/>
    <w:rsid w:val="00C74FD6"/>
    <w:rsid w:val="00C75B11"/>
    <w:rsid w:val="00C7677B"/>
    <w:rsid w:val="00C767CE"/>
    <w:rsid w:val="00C767DD"/>
    <w:rsid w:val="00C76939"/>
    <w:rsid w:val="00C76DE5"/>
    <w:rsid w:val="00C77973"/>
    <w:rsid w:val="00C77BF4"/>
    <w:rsid w:val="00C80E70"/>
    <w:rsid w:val="00C8176B"/>
    <w:rsid w:val="00C824A9"/>
    <w:rsid w:val="00C82F5C"/>
    <w:rsid w:val="00C839FA"/>
    <w:rsid w:val="00C85A7A"/>
    <w:rsid w:val="00C860D5"/>
    <w:rsid w:val="00C87019"/>
    <w:rsid w:val="00C90AA7"/>
    <w:rsid w:val="00C90AEF"/>
    <w:rsid w:val="00C90B89"/>
    <w:rsid w:val="00C91543"/>
    <w:rsid w:val="00C91E90"/>
    <w:rsid w:val="00C9216F"/>
    <w:rsid w:val="00C92691"/>
    <w:rsid w:val="00C92A96"/>
    <w:rsid w:val="00C93656"/>
    <w:rsid w:val="00C93BE4"/>
    <w:rsid w:val="00C94077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3EBD"/>
    <w:rsid w:val="00CA4179"/>
    <w:rsid w:val="00CA5428"/>
    <w:rsid w:val="00CA5D31"/>
    <w:rsid w:val="00CA6BAD"/>
    <w:rsid w:val="00CA6F70"/>
    <w:rsid w:val="00CA7116"/>
    <w:rsid w:val="00CA7BF0"/>
    <w:rsid w:val="00CB03EC"/>
    <w:rsid w:val="00CB1231"/>
    <w:rsid w:val="00CB158F"/>
    <w:rsid w:val="00CB19D8"/>
    <w:rsid w:val="00CB3F4F"/>
    <w:rsid w:val="00CB47D8"/>
    <w:rsid w:val="00CB4D41"/>
    <w:rsid w:val="00CB5CC4"/>
    <w:rsid w:val="00CB5D35"/>
    <w:rsid w:val="00CB6239"/>
    <w:rsid w:val="00CB6307"/>
    <w:rsid w:val="00CC04E1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C7B"/>
    <w:rsid w:val="00CC6CEC"/>
    <w:rsid w:val="00CC7C67"/>
    <w:rsid w:val="00CD1830"/>
    <w:rsid w:val="00CD1A75"/>
    <w:rsid w:val="00CD1DDF"/>
    <w:rsid w:val="00CD2CB7"/>
    <w:rsid w:val="00CD4A31"/>
    <w:rsid w:val="00CD4E92"/>
    <w:rsid w:val="00CD584F"/>
    <w:rsid w:val="00CD5F1D"/>
    <w:rsid w:val="00CD6076"/>
    <w:rsid w:val="00CD6B83"/>
    <w:rsid w:val="00CD6FA7"/>
    <w:rsid w:val="00CD73AC"/>
    <w:rsid w:val="00CD764F"/>
    <w:rsid w:val="00CD7AB2"/>
    <w:rsid w:val="00CE063B"/>
    <w:rsid w:val="00CE3285"/>
    <w:rsid w:val="00CE3529"/>
    <w:rsid w:val="00CE39AA"/>
    <w:rsid w:val="00CE3FE1"/>
    <w:rsid w:val="00CE43E9"/>
    <w:rsid w:val="00CE47B5"/>
    <w:rsid w:val="00CE4F3B"/>
    <w:rsid w:val="00CE5C82"/>
    <w:rsid w:val="00CE5E7C"/>
    <w:rsid w:val="00CE6998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4405"/>
    <w:rsid w:val="00D04FFD"/>
    <w:rsid w:val="00D0544A"/>
    <w:rsid w:val="00D06686"/>
    <w:rsid w:val="00D06D1A"/>
    <w:rsid w:val="00D07583"/>
    <w:rsid w:val="00D103CD"/>
    <w:rsid w:val="00D10EC6"/>
    <w:rsid w:val="00D124E2"/>
    <w:rsid w:val="00D12EFB"/>
    <w:rsid w:val="00D13230"/>
    <w:rsid w:val="00D13893"/>
    <w:rsid w:val="00D13C5F"/>
    <w:rsid w:val="00D1445A"/>
    <w:rsid w:val="00D14F17"/>
    <w:rsid w:val="00D157B2"/>
    <w:rsid w:val="00D168C4"/>
    <w:rsid w:val="00D17AD8"/>
    <w:rsid w:val="00D202E5"/>
    <w:rsid w:val="00D204A3"/>
    <w:rsid w:val="00D208B4"/>
    <w:rsid w:val="00D20C38"/>
    <w:rsid w:val="00D20E0D"/>
    <w:rsid w:val="00D20E53"/>
    <w:rsid w:val="00D23303"/>
    <w:rsid w:val="00D23A3A"/>
    <w:rsid w:val="00D246A5"/>
    <w:rsid w:val="00D25003"/>
    <w:rsid w:val="00D256F2"/>
    <w:rsid w:val="00D3081A"/>
    <w:rsid w:val="00D31502"/>
    <w:rsid w:val="00D32778"/>
    <w:rsid w:val="00D327A4"/>
    <w:rsid w:val="00D329B7"/>
    <w:rsid w:val="00D33B04"/>
    <w:rsid w:val="00D33C8E"/>
    <w:rsid w:val="00D33CBC"/>
    <w:rsid w:val="00D353DC"/>
    <w:rsid w:val="00D354BD"/>
    <w:rsid w:val="00D3560F"/>
    <w:rsid w:val="00D35CF3"/>
    <w:rsid w:val="00D35D98"/>
    <w:rsid w:val="00D36057"/>
    <w:rsid w:val="00D362FE"/>
    <w:rsid w:val="00D37366"/>
    <w:rsid w:val="00D377C7"/>
    <w:rsid w:val="00D4039C"/>
    <w:rsid w:val="00D408AF"/>
    <w:rsid w:val="00D41F5C"/>
    <w:rsid w:val="00D42639"/>
    <w:rsid w:val="00D442DC"/>
    <w:rsid w:val="00D458F2"/>
    <w:rsid w:val="00D47279"/>
    <w:rsid w:val="00D47B49"/>
    <w:rsid w:val="00D503FE"/>
    <w:rsid w:val="00D507BC"/>
    <w:rsid w:val="00D50B2B"/>
    <w:rsid w:val="00D5106C"/>
    <w:rsid w:val="00D5138A"/>
    <w:rsid w:val="00D51FF7"/>
    <w:rsid w:val="00D5213B"/>
    <w:rsid w:val="00D52F68"/>
    <w:rsid w:val="00D53E77"/>
    <w:rsid w:val="00D5431C"/>
    <w:rsid w:val="00D55B11"/>
    <w:rsid w:val="00D55CDB"/>
    <w:rsid w:val="00D55DF4"/>
    <w:rsid w:val="00D564CA"/>
    <w:rsid w:val="00D56F82"/>
    <w:rsid w:val="00D571E4"/>
    <w:rsid w:val="00D602AB"/>
    <w:rsid w:val="00D6032E"/>
    <w:rsid w:val="00D603AD"/>
    <w:rsid w:val="00D60BCA"/>
    <w:rsid w:val="00D60E39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CE3"/>
    <w:rsid w:val="00D70781"/>
    <w:rsid w:val="00D71262"/>
    <w:rsid w:val="00D721C1"/>
    <w:rsid w:val="00D72AEA"/>
    <w:rsid w:val="00D72C24"/>
    <w:rsid w:val="00D72D6A"/>
    <w:rsid w:val="00D7313A"/>
    <w:rsid w:val="00D73F0E"/>
    <w:rsid w:val="00D747C9"/>
    <w:rsid w:val="00D76186"/>
    <w:rsid w:val="00D76278"/>
    <w:rsid w:val="00D76399"/>
    <w:rsid w:val="00D77FB1"/>
    <w:rsid w:val="00D8020B"/>
    <w:rsid w:val="00D810CA"/>
    <w:rsid w:val="00D8120D"/>
    <w:rsid w:val="00D81F71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6577"/>
    <w:rsid w:val="00D974EB"/>
    <w:rsid w:val="00D97883"/>
    <w:rsid w:val="00DA0008"/>
    <w:rsid w:val="00DA017F"/>
    <w:rsid w:val="00DA1B03"/>
    <w:rsid w:val="00DA1E87"/>
    <w:rsid w:val="00DA1FAA"/>
    <w:rsid w:val="00DA263D"/>
    <w:rsid w:val="00DA2B43"/>
    <w:rsid w:val="00DA3C4D"/>
    <w:rsid w:val="00DA621D"/>
    <w:rsid w:val="00DA7438"/>
    <w:rsid w:val="00DB0C6E"/>
    <w:rsid w:val="00DB1FAD"/>
    <w:rsid w:val="00DB2193"/>
    <w:rsid w:val="00DB2C9E"/>
    <w:rsid w:val="00DB336B"/>
    <w:rsid w:val="00DB366B"/>
    <w:rsid w:val="00DB40F3"/>
    <w:rsid w:val="00DB415D"/>
    <w:rsid w:val="00DB4445"/>
    <w:rsid w:val="00DB4B14"/>
    <w:rsid w:val="00DB5A72"/>
    <w:rsid w:val="00DB622A"/>
    <w:rsid w:val="00DB65BD"/>
    <w:rsid w:val="00DB7592"/>
    <w:rsid w:val="00DB759B"/>
    <w:rsid w:val="00DB7866"/>
    <w:rsid w:val="00DC00C2"/>
    <w:rsid w:val="00DC0CC2"/>
    <w:rsid w:val="00DC1AF4"/>
    <w:rsid w:val="00DC2275"/>
    <w:rsid w:val="00DC2FF0"/>
    <w:rsid w:val="00DC43AD"/>
    <w:rsid w:val="00DC4A2D"/>
    <w:rsid w:val="00DC5343"/>
    <w:rsid w:val="00DC5AD6"/>
    <w:rsid w:val="00DC6D53"/>
    <w:rsid w:val="00DC78C6"/>
    <w:rsid w:val="00DC7CEA"/>
    <w:rsid w:val="00DD0371"/>
    <w:rsid w:val="00DD0563"/>
    <w:rsid w:val="00DD13F1"/>
    <w:rsid w:val="00DD1AF9"/>
    <w:rsid w:val="00DD2BA1"/>
    <w:rsid w:val="00DD410A"/>
    <w:rsid w:val="00DD4384"/>
    <w:rsid w:val="00DD43C8"/>
    <w:rsid w:val="00DD46B4"/>
    <w:rsid w:val="00DD4C7A"/>
    <w:rsid w:val="00DD580C"/>
    <w:rsid w:val="00DD5DF8"/>
    <w:rsid w:val="00DD6FBE"/>
    <w:rsid w:val="00DD787C"/>
    <w:rsid w:val="00DD7F66"/>
    <w:rsid w:val="00DD7F79"/>
    <w:rsid w:val="00DE0490"/>
    <w:rsid w:val="00DE0735"/>
    <w:rsid w:val="00DE07BB"/>
    <w:rsid w:val="00DE0B52"/>
    <w:rsid w:val="00DE13F1"/>
    <w:rsid w:val="00DE3662"/>
    <w:rsid w:val="00DE3A5C"/>
    <w:rsid w:val="00DE4A4F"/>
    <w:rsid w:val="00DE54BE"/>
    <w:rsid w:val="00DE57C7"/>
    <w:rsid w:val="00DE5DFB"/>
    <w:rsid w:val="00DE669A"/>
    <w:rsid w:val="00DE73E0"/>
    <w:rsid w:val="00DE7629"/>
    <w:rsid w:val="00DE7988"/>
    <w:rsid w:val="00DF1585"/>
    <w:rsid w:val="00DF1CD5"/>
    <w:rsid w:val="00DF23D7"/>
    <w:rsid w:val="00DF268E"/>
    <w:rsid w:val="00DF2E82"/>
    <w:rsid w:val="00DF47A4"/>
    <w:rsid w:val="00DF519E"/>
    <w:rsid w:val="00DF5434"/>
    <w:rsid w:val="00DF60D4"/>
    <w:rsid w:val="00DF6765"/>
    <w:rsid w:val="00DF690E"/>
    <w:rsid w:val="00DF72E0"/>
    <w:rsid w:val="00DF77AD"/>
    <w:rsid w:val="00DF7ECB"/>
    <w:rsid w:val="00E03F14"/>
    <w:rsid w:val="00E055EE"/>
    <w:rsid w:val="00E05FF8"/>
    <w:rsid w:val="00E06ADB"/>
    <w:rsid w:val="00E06CF2"/>
    <w:rsid w:val="00E06D8F"/>
    <w:rsid w:val="00E077E2"/>
    <w:rsid w:val="00E10191"/>
    <w:rsid w:val="00E10838"/>
    <w:rsid w:val="00E135AD"/>
    <w:rsid w:val="00E149A6"/>
    <w:rsid w:val="00E14AA7"/>
    <w:rsid w:val="00E14BA5"/>
    <w:rsid w:val="00E154BD"/>
    <w:rsid w:val="00E15572"/>
    <w:rsid w:val="00E15C82"/>
    <w:rsid w:val="00E15CED"/>
    <w:rsid w:val="00E1653D"/>
    <w:rsid w:val="00E165BA"/>
    <w:rsid w:val="00E16E5A"/>
    <w:rsid w:val="00E1732A"/>
    <w:rsid w:val="00E177C7"/>
    <w:rsid w:val="00E17960"/>
    <w:rsid w:val="00E212B3"/>
    <w:rsid w:val="00E21C87"/>
    <w:rsid w:val="00E22535"/>
    <w:rsid w:val="00E2297E"/>
    <w:rsid w:val="00E22C63"/>
    <w:rsid w:val="00E2351D"/>
    <w:rsid w:val="00E2483C"/>
    <w:rsid w:val="00E24ECD"/>
    <w:rsid w:val="00E25A8C"/>
    <w:rsid w:val="00E27F91"/>
    <w:rsid w:val="00E30866"/>
    <w:rsid w:val="00E3185B"/>
    <w:rsid w:val="00E329E4"/>
    <w:rsid w:val="00E330FD"/>
    <w:rsid w:val="00E33439"/>
    <w:rsid w:val="00E34459"/>
    <w:rsid w:val="00E35B25"/>
    <w:rsid w:val="00E37517"/>
    <w:rsid w:val="00E37B81"/>
    <w:rsid w:val="00E40A75"/>
    <w:rsid w:val="00E40F36"/>
    <w:rsid w:val="00E410EA"/>
    <w:rsid w:val="00E414C3"/>
    <w:rsid w:val="00E42304"/>
    <w:rsid w:val="00E42460"/>
    <w:rsid w:val="00E4268B"/>
    <w:rsid w:val="00E42A3D"/>
    <w:rsid w:val="00E4320A"/>
    <w:rsid w:val="00E457AB"/>
    <w:rsid w:val="00E45A6E"/>
    <w:rsid w:val="00E4753B"/>
    <w:rsid w:val="00E47C85"/>
    <w:rsid w:val="00E47D64"/>
    <w:rsid w:val="00E47EC8"/>
    <w:rsid w:val="00E5000A"/>
    <w:rsid w:val="00E518CD"/>
    <w:rsid w:val="00E525F9"/>
    <w:rsid w:val="00E52F7C"/>
    <w:rsid w:val="00E55380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41AA"/>
    <w:rsid w:val="00E645DE"/>
    <w:rsid w:val="00E649DC"/>
    <w:rsid w:val="00E64EEC"/>
    <w:rsid w:val="00E65ED2"/>
    <w:rsid w:val="00E6625B"/>
    <w:rsid w:val="00E66C70"/>
    <w:rsid w:val="00E67023"/>
    <w:rsid w:val="00E71D16"/>
    <w:rsid w:val="00E73620"/>
    <w:rsid w:val="00E742B8"/>
    <w:rsid w:val="00E74E9B"/>
    <w:rsid w:val="00E75697"/>
    <w:rsid w:val="00E7599E"/>
    <w:rsid w:val="00E76765"/>
    <w:rsid w:val="00E768DB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ACD"/>
    <w:rsid w:val="00E826F1"/>
    <w:rsid w:val="00E82D49"/>
    <w:rsid w:val="00E8341A"/>
    <w:rsid w:val="00E83A8F"/>
    <w:rsid w:val="00E83D0B"/>
    <w:rsid w:val="00E83FAA"/>
    <w:rsid w:val="00E8479B"/>
    <w:rsid w:val="00E85564"/>
    <w:rsid w:val="00E86A93"/>
    <w:rsid w:val="00E86E3E"/>
    <w:rsid w:val="00E87095"/>
    <w:rsid w:val="00E92BFF"/>
    <w:rsid w:val="00E945D1"/>
    <w:rsid w:val="00E94D56"/>
    <w:rsid w:val="00E95416"/>
    <w:rsid w:val="00E96584"/>
    <w:rsid w:val="00E97881"/>
    <w:rsid w:val="00EA0082"/>
    <w:rsid w:val="00EA0366"/>
    <w:rsid w:val="00EA0DCA"/>
    <w:rsid w:val="00EA0E8E"/>
    <w:rsid w:val="00EA109B"/>
    <w:rsid w:val="00EA1ACE"/>
    <w:rsid w:val="00EA1B0C"/>
    <w:rsid w:val="00EA1FD6"/>
    <w:rsid w:val="00EA2615"/>
    <w:rsid w:val="00EA51C6"/>
    <w:rsid w:val="00EA5652"/>
    <w:rsid w:val="00EA5FAA"/>
    <w:rsid w:val="00EA64F2"/>
    <w:rsid w:val="00EA6AF9"/>
    <w:rsid w:val="00EA726C"/>
    <w:rsid w:val="00EB05DE"/>
    <w:rsid w:val="00EB2094"/>
    <w:rsid w:val="00EB21BE"/>
    <w:rsid w:val="00EB2557"/>
    <w:rsid w:val="00EB27BB"/>
    <w:rsid w:val="00EB2B4A"/>
    <w:rsid w:val="00EB3D2C"/>
    <w:rsid w:val="00EB4E49"/>
    <w:rsid w:val="00EB556E"/>
    <w:rsid w:val="00EB70B2"/>
    <w:rsid w:val="00EC0C88"/>
    <w:rsid w:val="00EC18C7"/>
    <w:rsid w:val="00EC26EF"/>
    <w:rsid w:val="00EC34EB"/>
    <w:rsid w:val="00EC3DA0"/>
    <w:rsid w:val="00EC4553"/>
    <w:rsid w:val="00EC5A58"/>
    <w:rsid w:val="00EC619F"/>
    <w:rsid w:val="00EC6CD6"/>
    <w:rsid w:val="00EC6D9E"/>
    <w:rsid w:val="00EC6E06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375F"/>
    <w:rsid w:val="00EE48A1"/>
    <w:rsid w:val="00EE78AF"/>
    <w:rsid w:val="00EF0D38"/>
    <w:rsid w:val="00EF3927"/>
    <w:rsid w:val="00EF44B6"/>
    <w:rsid w:val="00EF56EC"/>
    <w:rsid w:val="00EF6217"/>
    <w:rsid w:val="00EF675C"/>
    <w:rsid w:val="00EF71A9"/>
    <w:rsid w:val="00EF764E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68F4"/>
    <w:rsid w:val="00F06DAF"/>
    <w:rsid w:val="00F071B3"/>
    <w:rsid w:val="00F126BE"/>
    <w:rsid w:val="00F12754"/>
    <w:rsid w:val="00F13166"/>
    <w:rsid w:val="00F13F07"/>
    <w:rsid w:val="00F1405E"/>
    <w:rsid w:val="00F15181"/>
    <w:rsid w:val="00F15645"/>
    <w:rsid w:val="00F158CA"/>
    <w:rsid w:val="00F16468"/>
    <w:rsid w:val="00F16CC3"/>
    <w:rsid w:val="00F21B2D"/>
    <w:rsid w:val="00F221A2"/>
    <w:rsid w:val="00F23348"/>
    <w:rsid w:val="00F23451"/>
    <w:rsid w:val="00F23B95"/>
    <w:rsid w:val="00F23DA3"/>
    <w:rsid w:val="00F23DCE"/>
    <w:rsid w:val="00F23EDB"/>
    <w:rsid w:val="00F23F8D"/>
    <w:rsid w:val="00F2548D"/>
    <w:rsid w:val="00F259E3"/>
    <w:rsid w:val="00F25AD7"/>
    <w:rsid w:val="00F2680C"/>
    <w:rsid w:val="00F272F9"/>
    <w:rsid w:val="00F27358"/>
    <w:rsid w:val="00F27A6B"/>
    <w:rsid w:val="00F31695"/>
    <w:rsid w:val="00F31AE8"/>
    <w:rsid w:val="00F32818"/>
    <w:rsid w:val="00F3281A"/>
    <w:rsid w:val="00F32960"/>
    <w:rsid w:val="00F32EA3"/>
    <w:rsid w:val="00F32F7D"/>
    <w:rsid w:val="00F339B0"/>
    <w:rsid w:val="00F343D1"/>
    <w:rsid w:val="00F36754"/>
    <w:rsid w:val="00F40322"/>
    <w:rsid w:val="00F40E57"/>
    <w:rsid w:val="00F40F09"/>
    <w:rsid w:val="00F41138"/>
    <w:rsid w:val="00F41188"/>
    <w:rsid w:val="00F412AF"/>
    <w:rsid w:val="00F41C65"/>
    <w:rsid w:val="00F420D8"/>
    <w:rsid w:val="00F42B94"/>
    <w:rsid w:val="00F43023"/>
    <w:rsid w:val="00F43291"/>
    <w:rsid w:val="00F43C56"/>
    <w:rsid w:val="00F45C2C"/>
    <w:rsid w:val="00F45C4E"/>
    <w:rsid w:val="00F46423"/>
    <w:rsid w:val="00F46788"/>
    <w:rsid w:val="00F46EC9"/>
    <w:rsid w:val="00F47244"/>
    <w:rsid w:val="00F509A3"/>
    <w:rsid w:val="00F51E45"/>
    <w:rsid w:val="00F52A36"/>
    <w:rsid w:val="00F53664"/>
    <w:rsid w:val="00F53EE8"/>
    <w:rsid w:val="00F5406C"/>
    <w:rsid w:val="00F54792"/>
    <w:rsid w:val="00F555B4"/>
    <w:rsid w:val="00F559FD"/>
    <w:rsid w:val="00F5643B"/>
    <w:rsid w:val="00F5686B"/>
    <w:rsid w:val="00F573AC"/>
    <w:rsid w:val="00F57557"/>
    <w:rsid w:val="00F576B5"/>
    <w:rsid w:val="00F5785B"/>
    <w:rsid w:val="00F60B84"/>
    <w:rsid w:val="00F6160F"/>
    <w:rsid w:val="00F61C49"/>
    <w:rsid w:val="00F62EB0"/>
    <w:rsid w:val="00F64BFF"/>
    <w:rsid w:val="00F65452"/>
    <w:rsid w:val="00F65A6F"/>
    <w:rsid w:val="00F65DBA"/>
    <w:rsid w:val="00F670F3"/>
    <w:rsid w:val="00F7008D"/>
    <w:rsid w:val="00F710A1"/>
    <w:rsid w:val="00F71582"/>
    <w:rsid w:val="00F731B9"/>
    <w:rsid w:val="00F73A5A"/>
    <w:rsid w:val="00F73FFE"/>
    <w:rsid w:val="00F744A3"/>
    <w:rsid w:val="00F752D0"/>
    <w:rsid w:val="00F7553E"/>
    <w:rsid w:val="00F7683A"/>
    <w:rsid w:val="00F7691E"/>
    <w:rsid w:val="00F803F6"/>
    <w:rsid w:val="00F8083C"/>
    <w:rsid w:val="00F815D4"/>
    <w:rsid w:val="00F819CB"/>
    <w:rsid w:val="00F822A6"/>
    <w:rsid w:val="00F833A2"/>
    <w:rsid w:val="00F83CF8"/>
    <w:rsid w:val="00F84F2A"/>
    <w:rsid w:val="00F85599"/>
    <w:rsid w:val="00F85C1E"/>
    <w:rsid w:val="00F86568"/>
    <w:rsid w:val="00F86ABF"/>
    <w:rsid w:val="00F86F89"/>
    <w:rsid w:val="00F87DDB"/>
    <w:rsid w:val="00F922E8"/>
    <w:rsid w:val="00F92361"/>
    <w:rsid w:val="00F93D74"/>
    <w:rsid w:val="00F94F78"/>
    <w:rsid w:val="00F95450"/>
    <w:rsid w:val="00F95E4C"/>
    <w:rsid w:val="00FA06C7"/>
    <w:rsid w:val="00FA0DFE"/>
    <w:rsid w:val="00FA1C4D"/>
    <w:rsid w:val="00FA2009"/>
    <w:rsid w:val="00FA245F"/>
    <w:rsid w:val="00FA2E0E"/>
    <w:rsid w:val="00FA393C"/>
    <w:rsid w:val="00FA454F"/>
    <w:rsid w:val="00FA4F1B"/>
    <w:rsid w:val="00FA5D0F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56B4"/>
    <w:rsid w:val="00FB5899"/>
    <w:rsid w:val="00FB5B96"/>
    <w:rsid w:val="00FB6FDF"/>
    <w:rsid w:val="00FC06B1"/>
    <w:rsid w:val="00FC14AC"/>
    <w:rsid w:val="00FC1768"/>
    <w:rsid w:val="00FC4399"/>
    <w:rsid w:val="00FC4637"/>
    <w:rsid w:val="00FC48FC"/>
    <w:rsid w:val="00FC496F"/>
    <w:rsid w:val="00FC4F80"/>
    <w:rsid w:val="00FC5B7C"/>
    <w:rsid w:val="00FC5BE7"/>
    <w:rsid w:val="00FC7732"/>
    <w:rsid w:val="00FD0880"/>
    <w:rsid w:val="00FD170D"/>
    <w:rsid w:val="00FD208A"/>
    <w:rsid w:val="00FD2371"/>
    <w:rsid w:val="00FD25C6"/>
    <w:rsid w:val="00FD296D"/>
    <w:rsid w:val="00FD3FDE"/>
    <w:rsid w:val="00FD518A"/>
    <w:rsid w:val="00FD5B90"/>
    <w:rsid w:val="00FD6D36"/>
    <w:rsid w:val="00FD6F93"/>
    <w:rsid w:val="00FE09EE"/>
    <w:rsid w:val="00FE117D"/>
    <w:rsid w:val="00FE11AF"/>
    <w:rsid w:val="00FE1829"/>
    <w:rsid w:val="00FE1D9B"/>
    <w:rsid w:val="00FE242D"/>
    <w:rsid w:val="00FE2C83"/>
    <w:rsid w:val="00FE5045"/>
    <w:rsid w:val="00FE5AE6"/>
    <w:rsid w:val="00FE659E"/>
    <w:rsid w:val="00FF0B04"/>
    <w:rsid w:val="00FF0CCA"/>
    <w:rsid w:val="00FF2226"/>
    <w:rsid w:val="00FF3602"/>
    <w:rsid w:val="00FF48F2"/>
    <w:rsid w:val="00FF4E4A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03D5CC4B-E769-4A9C-B1B7-82650BC0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5NUHHDQN7SK2-1476151046-523965</_dlc_DocId>
    <_dlc_DocIdUrl xmlns="f166a696-7b5b-4ccd-9f0c-ffde0cceec81">
      <Url>https://ericsson.sharepoint.com/sites/star/_layouts/15/DocIdRedir.aspx?ID=5NUHHDQN7SK2-1476151046-523965</Url>
      <Description>5NUHHDQN7SK2-1476151046-523965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C8FD98-7438-4C50-9593-086E8376353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www.w3.org/XML/1998/namespace"/>
    <ds:schemaRef ds:uri="http://purl.org/dc/dcmitype/"/>
    <ds:schemaRef ds:uri="611109f9-ed58-4498-a270-1fb2086a5321"/>
    <ds:schemaRef ds:uri="http://purl.org/dc/elements/1.1/"/>
    <ds:schemaRef ds:uri="http://schemas.microsoft.com/office/infopath/2007/PartnerControls"/>
    <ds:schemaRef ds:uri="http://schemas.microsoft.com/sharepoint/v4"/>
    <ds:schemaRef ds:uri="http://schemas.microsoft.com/office/2006/documentManagement/types"/>
    <ds:schemaRef ds:uri="f166a696-7b5b-4ccd-9f0c-ffde0cceec81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E549155-C56C-4E56-ABE2-0578C0DC214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D377442-3B84-475A-8334-FFF91F314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8913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1856</cp:revision>
  <dcterms:created xsi:type="dcterms:W3CDTF">2020-10-17T21:11:00Z</dcterms:created>
  <dcterms:modified xsi:type="dcterms:W3CDTF">2022-08-08T18:53:00Z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e4e68d56-64f1-4970-a2c6-ce157cbaf87e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</Properties>
</file>